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7396" w14:textId="77777777" w:rsidR="007F10EB" w:rsidRDefault="007F10EB" w:rsidP="00350AAE">
      <w:pPr>
        <w:pStyle w:val="Blocksatz"/>
        <w:jc w:val="center"/>
      </w:pPr>
    </w:p>
    <w:p w14:paraId="00890202" w14:textId="181DF292" w:rsidR="007F10EB" w:rsidRPr="00655C40" w:rsidRDefault="00655C40" w:rsidP="00655C40">
      <w:pPr>
        <w:spacing w:line="240" w:lineRule="auto"/>
        <w:jc w:val="center"/>
        <w:rPr>
          <w:rFonts w:cs="Arial"/>
          <w:b/>
          <w:bCs/>
          <w:sz w:val="28"/>
          <w:szCs w:val="28"/>
          <w:lang w:val="it-IT"/>
        </w:rPr>
      </w:pPr>
      <w:r w:rsidRPr="00AD50EA">
        <w:rPr>
          <w:rFonts w:cs="Arial"/>
          <w:b/>
          <w:bCs/>
          <w:sz w:val="28"/>
          <w:szCs w:val="28"/>
          <w:lang w:val="it-IT"/>
        </w:rPr>
        <w:t>Regolamento in materia di retribuzioni e spese</w:t>
      </w:r>
      <w:r>
        <w:rPr>
          <w:rFonts w:cs="Arial"/>
          <w:b/>
          <w:bCs/>
          <w:sz w:val="28"/>
          <w:szCs w:val="28"/>
          <w:lang w:val="it-IT"/>
        </w:rPr>
        <w:br/>
      </w:r>
      <w:r w:rsidRPr="00AD50EA">
        <w:rPr>
          <w:rFonts w:cs="Arial"/>
          <w:b/>
          <w:bCs/>
          <w:sz w:val="28"/>
          <w:szCs w:val="28"/>
          <w:lang w:val="it-IT"/>
        </w:rPr>
        <w:t xml:space="preserve">(retribuzione </w:t>
      </w:r>
      <w:r>
        <w:rPr>
          <w:rFonts w:cs="Arial"/>
          <w:b/>
          <w:bCs/>
          <w:sz w:val="28"/>
          <w:szCs w:val="28"/>
          <w:lang w:val="it-IT"/>
        </w:rPr>
        <w:t>forfettari</w:t>
      </w:r>
      <w:r w:rsidR="00A24CB2">
        <w:rPr>
          <w:rFonts w:cs="Arial"/>
          <w:b/>
          <w:bCs/>
          <w:sz w:val="28"/>
          <w:szCs w:val="28"/>
          <w:lang w:val="it-IT"/>
        </w:rPr>
        <w:t>a</w:t>
      </w:r>
      <w:r w:rsidR="007F10EB" w:rsidRPr="00655C40">
        <w:rPr>
          <w:b/>
          <w:bCs/>
          <w:sz w:val="28"/>
          <w:szCs w:val="28"/>
          <w:lang w:val="it-IT"/>
        </w:rPr>
        <w:t>)</w:t>
      </w:r>
    </w:p>
    <w:p w14:paraId="231EC06C" w14:textId="77777777" w:rsidR="007F10EB" w:rsidRPr="00655C40" w:rsidRDefault="007F10EB" w:rsidP="00E06DFE">
      <w:pPr>
        <w:pStyle w:val="Blocksatz"/>
        <w:jc w:val="center"/>
        <w:rPr>
          <w:b/>
          <w:bCs/>
          <w:sz w:val="24"/>
          <w:szCs w:val="24"/>
          <w:lang w:val="it-IT"/>
        </w:rPr>
      </w:pPr>
    </w:p>
    <w:p w14:paraId="50CE7CF6" w14:textId="77777777" w:rsidR="00655C40" w:rsidRPr="004735A9" w:rsidRDefault="00655C40" w:rsidP="00655C40">
      <w:pPr>
        <w:spacing w:line="240" w:lineRule="auto"/>
        <w:jc w:val="center"/>
        <w:rPr>
          <w:rFonts w:cs="Arial"/>
          <w:sz w:val="24"/>
          <w:szCs w:val="24"/>
          <w:lang w:val="it-IT"/>
        </w:rPr>
      </w:pPr>
      <w:r w:rsidRPr="004735A9">
        <w:rPr>
          <w:rFonts w:cs="Arial"/>
          <w:sz w:val="24"/>
          <w:szCs w:val="24"/>
          <w:lang w:val="it-IT"/>
        </w:rPr>
        <w:t xml:space="preserve">per il Consiglio di </w:t>
      </w:r>
      <w:r>
        <w:rPr>
          <w:rFonts w:cs="Arial"/>
          <w:sz w:val="24"/>
          <w:szCs w:val="24"/>
          <w:lang w:val="it-IT"/>
        </w:rPr>
        <w:t>f</w:t>
      </w:r>
      <w:r w:rsidRPr="004735A9">
        <w:rPr>
          <w:rFonts w:cs="Arial"/>
          <w:sz w:val="24"/>
          <w:szCs w:val="24"/>
          <w:lang w:val="it-IT"/>
        </w:rPr>
        <w:t xml:space="preserve">ondazione </w:t>
      </w:r>
      <w:r>
        <w:rPr>
          <w:rFonts w:cs="Arial"/>
          <w:sz w:val="24"/>
          <w:szCs w:val="24"/>
          <w:lang w:val="it-IT"/>
        </w:rPr>
        <w:t>della</w:t>
      </w:r>
    </w:p>
    <w:p w14:paraId="4A0D8421" w14:textId="77777777" w:rsidR="007F10EB" w:rsidRPr="00655C40" w:rsidRDefault="007F10EB" w:rsidP="00E06DFE">
      <w:pPr>
        <w:pStyle w:val="Blocksatz"/>
        <w:jc w:val="center"/>
        <w:rPr>
          <w:sz w:val="24"/>
          <w:szCs w:val="24"/>
          <w:lang w:val="it-IT"/>
        </w:rPr>
      </w:pPr>
    </w:p>
    <w:p w14:paraId="0392BBA3" w14:textId="228DDB49" w:rsidR="007F10EB" w:rsidRPr="0087592B" w:rsidRDefault="00655C40" w:rsidP="00E06DFE">
      <w:pPr>
        <w:pStyle w:val="Blocksatz"/>
        <w:jc w:val="center"/>
        <w:rPr>
          <w:b/>
          <w:bCs/>
          <w:sz w:val="24"/>
          <w:szCs w:val="24"/>
          <w:lang w:val="it-IT"/>
        </w:rPr>
      </w:pPr>
      <w:r w:rsidRPr="0087592B">
        <w:rPr>
          <w:b/>
          <w:bCs/>
          <w:sz w:val="24"/>
          <w:szCs w:val="24"/>
          <w:lang w:val="it-IT"/>
        </w:rPr>
        <w:t xml:space="preserve">Fondazione </w:t>
      </w:r>
      <w:r w:rsidR="007F10EB" w:rsidRPr="0087592B">
        <w:rPr>
          <w:b/>
          <w:bCs/>
          <w:sz w:val="24"/>
          <w:szCs w:val="24"/>
          <w:lang w:val="it-IT"/>
        </w:rPr>
        <w:t>[</w:t>
      </w:r>
      <w:r w:rsidR="007F10EB" w:rsidRPr="0087592B">
        <w:rPr>
          <w:b/>
          <w:bCs/>
          <w:sz w:val="24"/>
          <w:szCs w:val="24"/>
          <w:highlight w:val="lightGray"/>
          <w:lang w:val="it-IT"/>
        </w:rPr>
        <w:t>…</w:t>
      </w:r>
      <w:r w:rsidR="007F10EB" w:rsidRPr="0087592B">
        <w:rPr>
          <w:b/>
          <w:bCs/>
          <w:sz w:val="24"/>
          <w:szCs w:val="24"/>
          <w:lang w:val="it-IT"/>
        </w:rPr>
        <w:t>]</w:t>
      </w:r>
    </w:p>
    <w:p w14:paraId="626867A8" w14:textId="77777777" w:rsidR="00350AAE" w:rsidRPr="0087592B" w:rsidRDefault="00350AAE" w:rsidP="00350AAE">
      <w:pPr>
        <w:pStyle w:val="Blocksatz"/>
        <w:jc w:val="center"/>
        <w:rPr>
          <w:lang w:val="it-IT"/>
        </w:rPr>
      </w:pPr>
    </w:p>
    <w:p w14:paraId="5A5D7D09" w14:textId="77777777" w:rsidR="00350AAE" w:rsidRPr="0087592B" w:rsidRDefault="00350AAE" w:rsidP="00350AAE">
      <w:pPr>
        <w:pStyle w:val="Blocksatz"/>
        <w:jc w:val="center"/>
        <w:rPr>
          <w:lang w:val="it-IT"/>
        </w:rPr>
      </w:pPr>
    </w:p>
    <w:p w14:paraId="4F92966A" w14:textId="77777777" w:rsidR="00350AAE" w:rsidRPr="0087592B" w:rsidRDefault="00350AAE" w:rsidP="00350AAE">
      <w:pPr>
        <w:pStyle w:val="Blocksatz"/>
        <w:jc w:val="center"/>
        <w:rPr>
          <w:lang w:val="it-IT"/>
        </w:rPr>
      </w:pPr>
      <w:r w:rsidRPr="0087592B">
        <w:rPr>
          <w:lang w:val="it-IT"/>
        </w:rPr>
        <w:t>_____________________</w:t>
      </w:r>
    </w:p>
    <w:p w14:paraId="45A139AC" w14:textId="77777777" w:rsidR="00350AAE" w:rsidRPr="0087592B" w:rsidRDefault="00350AAE" w:rsidP="00350AAE">
      <w:pPr>
        <w:pStyle w:val="Blocksatz"/>
        <w:rPr>
          <w:sz w:val="22"/>
          <w:szCs w:val="22"/>
          <w:lang w:val="it-IT"/>
        </w:rPr>
      </w:pPr>
    </w:p>
    <w:p w14:paraId="552E5B2B" w14:textId="77777777" w:rsidR="00350AAE" w:rsidRPr="0087592B" w:rsidRDefault="00350AAE" w:rsidP="00350AAE">
      <w:pPr>
        <w:pStyle w:val="Blocksatz"/>
        <w:rPr>
          <w:lang w:val="it-IT"/>
        </w:rPr>
      </w:pPr>
    </w:p>
    <w:p w14:paraId="2A01E6CD" w14:textId="1276C968" w:rsidR="00042B88" w:rsidRPr="00350AAE" w:rsidRDefault="00655C40" w:rsidP="00350AAE">
      <w:pPr>
        <w:pStyle w:val="Blocksatz"/>
      </w:pPr>
      <w:r w:rsidRPr="00655C40">
        <w:rPr>
          <w:lang w:val="it-IT"/>
        </w:rPr>
        <w:t xml:space="preserve">Il presente regolamento disciplina la remunerazione ai sensi dell'art. </w:t>
      </w:r>
      <w:r w:rsidRPr="00350AAE">
        <w:t>[</w:t>
      </w:r>
      <w:r w:rsidRPr="00350AAE">
        <w:rPr>
          <w:highlight w:val="lightGray"/>
        </w:rPr>
        <w:t>…</w:t>
      </w:r>
      <w:r w:rsidRPr="00350AAE">
        <w:t>]</w:t>
      </w:r>
      <w:r w:rsidRPr="00655C40">
        <w:t xml:space="preserve"> </w:t>
      </w:r>
      <w:proofErr w:type="spellStart"/>
      <w:r w:rsidRPr="00655C40">
        <w:t>dell'atto</w:t>
      </w:r>
      <w:proofErr w:type="spellEnd"/>
      <w:r w:rsidRPr="00655C40">
        <w:t xml:space="preserve"> </w:t>
      </w:r>
      <w:proofErr w:type="spellStart"/>
      <w:r w:rsidRPr="00655C40">
        <w:t>costitutivo</w:t>
      </w:r>
      <w:proofErr w:type="spellEnd"/>
      <w:r w:rsidRPr="00655C40">
        <w:t xml:space="preserve"> della </w:t>
      </w:r>
      <w:proofErr w:type="spellStart"/>
      <w:r w:rsidRPr="00655C40">
        <w:t>Fondazione</w:t>
      </w:r>
      <w:proofErr w:type="spellEnd"/>
      <w:r w:rsidRPr="00655C40">
        <w:t xml:space="preserve"> </w:t>
      </w:r>
      <w:r w:rsidRPr="00350AAE">
        <w:t>[</w:t>
      </w:r>
      <w:r w:rsidRPr="00350AAE">
        <w:rPr>
          <w:highlight w:val="lightGray"/>
        </w:rPr>
        <w:t>…</w:t>
      </w:r>
      <w:r w:rsidRPr="00350AAE">
        <w:t>]</w:t>
      </w:r>
      <w:r w:rsidRPr="00655C40">
        <w:t xml:space="preserve"> del </w:t>
      </w:r>
      <w:r w:rsidRPr="00350AAE">
        <w:t>[</w:t>
      </w:r>
      <w:r w:rsidRPr="00350AAE">
        <w:rPr>
          <w:highlight w:val="lightGray"/>
        </w:rPr>
        <w:t>…</w:t>
      </w:r>
      <w:r w:rsidRPr="00350AAE">
        <w:t>]</w:t>
      </w:r>
      <w: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F10EB" w:rsidRPr="004F71CD" w14:paraId="516FB8AE" w14:textId="77777777" w:rsidTr="0099357D">
        <w:tc>
          <w:tcPr>
            <w:tcW w:w="9060" w:type="dxa"/>
          </w:tcPr>
          <w:p w14:paraId="19B0B2B4" w14:textId="24E6C36E" w:rsidR="00655C40" w:rsidRPr="00655C40" w:rsidRDefault="00655C40" w:rsidP="00655C40">
            <w:pPr>
              <w:pStyle w:val="Blocksatz"/>
              <w:rPr>
                <w:i/>
                <w:iCs/>
                <w:sz w:val="20"/>
                <w:szCs w:val="20"/>
                <w:lang w:val="it-IT"/>
              </w:rPr>
            </w:pPr>
            <w:r w:rsidRPr="00655C40">
              <w:rPr>
                <w:i/>
                <w:iCs/>
                <w:sz w:val="20"/>
                <w:szCs w:val="20"/>
                <w:lang w:val="it-IT"/>
              </w:rPr>
              <w:t xml:space="preserve">Nota: in questo </w:t>
            </w:r>
            <w:r w:rsidR="00E90BF0">
              <w:rPr>
                <w:i/>
                <w:iCs/>
                <w:sz w:val="20"/>
                <w:szCs w:val="20"/>
                <w:lang w:val="it-IT"/>
              </w:rPr>
              <w:t>punto</w:t>
            </w:r>
            <w:r w:rsidRPr="00655C40">
              <w:rPr>
                <w:i/>
                <w:iCs/>
                <w:sz w:val="20"/>
                <w:szCs w:val="20"/>
                <w:lang w:val="it-IT"/>
              </w:rPr>
              <w:t xml:space="preserve"> occorre inserire la disposizione dell'atto costitutivo in base alla quale viene retribuito il Consiglio di fondazione. </w:t>
            </w:r>
          </w:p>
          <w:p w14:paraId="2AC46375" w14:textId="77777777" w:rsidR="00655C40" w:rsidRPr="00655C40" w:rsidRDefault="00655C40" w:rsidP="00655C40">
            <w:pPr>
              <w:pStyle w:val="Blocksatz"/>
              <w:rPr>
                <w:i/>
                <w:iCs/>
                <w:sz w:val="20"/>
                <w:szCs w:val="20"/>
                <w:lang w:val="it-IT"/>
              </w:rPr>
            </w:pPr>
            <w:r w:rsidRPr="00655C40">
              <w:rPr>
                <w:i/>
                <w:iCs/>
                <w:sz w:val="20"/>
                <w:szCs w:val="20"/>
                <w:lang w:val="it-IT"/>
              </w:rPr>
              <w:t xml:space="preserve">Se nell'atto costitutivo manca una disposizione relativa alla retribuzione o se l'atto contiene una </w:t>
            </w:r>
          </w:p>
          <w:p w14:paraId="4E31394A" w14:textId="30C8DA04" w:rsidR="007F10EB" w:rsidRPr="00655C40" w:rsidRDefault="00655C40" w:rsidP="00655C40">
            <w:pPr>
              <w:pStyle w:val="Blocksatz"/>
              <w:rPr>
                <w:i/>
                <w:iCs/>
                <w:sz w:val="20"/>
                <w:szCs w:val="20"/>
                <w:lang w:val="it-IT"/>
              </w:rPr>
            </w:pPr>
            <w:r w:rsidRPr="00655C40">
              <w:rPr>
                <w:i/>
                <w:iCs/>
                <w:sz w:val="20"/>
                <w:szCs w:val="20"/>
                <w:lang w:val="it-IT"/>
              </w:rPr>
              <w:t>clausola di volontariato che, in base a</w:t>
            </w:r>
            <w:r w:rsidR="00AB2A66">
              <w:rPr>
                <w:i/>
                <w:iCs/>
                <w:sz w:val="20"/>
                <w:szCs w:val="20"/>
                <w:lang w:val="it-IT"/>
              </w:rPr>
              <w:t>d</w:t>
            </w:r>
            <w:r w:rsidRPr="00655C40">
              <w:rPr>
                <w:i/>
                <w:iCs/>
                <w:sz w:val="20"/>
                <w:szCs w:val="20"/>
                <w:lang w:val="it-IT"/>
              </w:rPr>
              <w:t xml:space="preserve"> una delibera del Consiglio di fondazione, dovrà essere modificata in occasione della prossima revisione dell'atto, la frase introduttiva va cancellata.</w:t>
            </w:r>
          </w:p>
        </w:tc>
      </w:tr>
    </w:tbl>
    <w:p w14:paraId="45874F54" w14:textId="77777777" w:rsidR="007F10EB" w:rsidRPr="00655C40" w:rsidRDefault="007F10EB" w:rsidP="00E06DFE">
      <w:pPr>
        <w:pStyle w:val="Blocksatz"/>
        <w:rPr>
          <w:sz w:val="22"/>
          <w:szCs w:val="22"/>
          <w:lang w:val="it-IT"/>
        </w:rPr>
      </w:pPr>
    </w:p>
    <w:p w14:paraId="02715F5A" w14:textId="77777777" w:rsidR="00655C40" w:rsidRPr="00CF5B7E" w:rsidRDefault="00655C40" w:rsidP="00655C40">
      <w:pPr>
        <w:pStyle w:val="Blocksatz"/>
        <w:numPr>
          <w:ilvl w:val="0"/>
          <w:numId w:val="27"/>
        </w:numPr>
        <w:rPr>
          <w:rFonts w:cs="Arial"/>
          <w:b/>
          <w:bCs/>
        </w:rPr>
      </w:pPr>
      <w:proofErr w:type="spellStart"/>
      <w:r>
        <w:rPr>
          <w:rFonts w:cs="Arial"/>
          <w:b/>
          <w:bCs/>
        </w:rPr>
        <w:t>Ambito</w:t>
      </w:r>
      <w:proofErr w:type="spellEnd"/>
      <w:r>
        <w:rPr>
          <w:rFonts w:cs="Arial"/>
          <w:b/>
          <w:bCs/>
        </w:rPr>
        <w:t xml:space="preserve"> di </w:t>
      </w:r>
      <w:proofErr w:type="spellStart"/>
      <w:r>
        <w:rPr>
          <w:rFonts w:cs="Arial"/>
          <w:b/>
          <w:bCs/>
        </w:rPr>
        <w:t>applicazione</w:t>
      </w:r>
      <w:proofErr w:type="spellEnd"/>
    </w:p>
    <w:p w14:paraId="3698A0A7" w14:textId="77777777" w:rsidR="00655C40" w:rsidRPr="00655C40" w:rsidRDefault="00655C40" w:rsidP="00655C40">
      <w:pPr>
        <w:pStyle w:val="Blocksatz"/>
        <w:rPr>
          <w:lang w:val="it-IT"/>
        </w:rPr>
      </w:pPr>
      <w:r w:rsidRPr="00655C40">
        <w:rPr>
          <w:lang w:val="it-IT"/>
        </w:rPr>
        <w:t>Il presente regolamento si applica ai membri del Consiglio di fondazione.</w:t>
      </w:r>
    </w:p>
    <w:p w14:paraId="00BCE22B" w14:textId="169527C5" w:rsidR="007F10EB" w:rsidRPr="00655C40" w:rsidRDefault="00655C40" w:rsidP="00655C40">
      <w:pPr>
        <w:pStyle w:val="Blocksatz"/>
        <w:rPr>
          <w:lang w:val="it-IT"/>
        </w:rPr>
      </w:pPr>
      <w:r w:rsidRPr="00655C40">
        <w:rPr>
          <w:lang w:val="it-IT"/>
        </w:rPr>
        <w:t xml:space="preserve">Il compenso per la direzione e per gli altri collaboratori fissi della </w:t>
      </w:r>
      <w:r w:rsidR="00AB2A66">
        <w:rPr>
          <w:lang w:val="it-IT"/>
        </w:rPr>
        <w:t>f</w:t>
      </w:r>
      <w:r w:rsidRPr="00655C40">
        <w:rPr>
          <w:lang w:val="it-IT"/>
        </w:rPr>
        <w:t>ondazione è disciplinato contrattualmente.</w:t>
      </w:r>
    </w:p>
    <w:p w14:paraId="7D9187A1" w14:textId="77777777" w:rsidR="007F10EB" w:rsidRPr="00655C40" w:rsidRDefault="007F10EB" w:rsidP="00E06DFE">
      <w:pPr>
        <w:pStyle w:val="Blocksatz"/>
        <w:rPr>
          <w:sz w:val="22"/>
          <w:szCs w:val="22"/>
          <w:lang w:val="it-IT"/>
        </w:rPr>
      </w:pPr>
    </w:p>
    <w:p w14:paraId="7126FEC0" w14:textId="472D6F76" w:rsidR="00812202" w:rsidRPr="00350AAE" w:rsidRDefault="00655C40" w:rsidP="008102C4">
      <w:pPr>
        <w:pStyle w:val="Blocksatz"/>
        <w:numPr>
          <w:ilvl w:val="0"/>
          <w:numId w:val="27"/>
        </w:numPr>
        <w:rPr>
          <w:b/>
          <w:bCs/>
        </w:rPr>
      </w:pPr>
      <w:proofErr w:type="spellStart"/>
      <w:r>
        <w:rPr>
          <w:rFonts w:cs="Arial"/>
          <w:b/>
          <w:bCs/>
        </w:rPr>
        <w:t>Principi</w:t>
      </w:r>
      <w:proofErr w:type="spellEnd"/>
    </w:p>
    <w:p w14:paraId="3BC4D598" w14:textId="2F51B0B7" w:rsidR="00655C40" w:rsidRPr="00655C40" w:rsidRDefault="00655C40" w:rsidP="00655C40">
      <w:pPr>
        <w:pStyle w:val="Blocksatz"/>
        <w:rPr>
          <w:lang w:val="it-IT"/>
        </w:rPr>
      </w:pPr>
      <w:r w:rsidRPr="00655C40">
        <w:rPr>
          <w:lang w:val="it-IT"/>
        </w:rPr>
        <w:t xml:space="preserve">I membri del Consiglio di fondazione ricevono dalla </w:t>
      </w:r>
      <w:r w:rsidR="00AB2A66">
        <w:rPr>
          <w:lang w:val="it-IT"/>
        </w:rPr>
        <w:t>f</w:t>
      </w:r>
      <w:r w:rsidRPr="00655C40">
        <w:rPr>
          <w:lang w:val="it-IT"/>
        </w:rPr>
        <w:t>ondazione un compenso adeguato per il tempo dedicato e le responsabilità assunte.</w:t>
      </w:r>
    </w:p>
    <w:p w14:paraId="2374C451" w14:textId="6C9B7522" w:rsidR="00812202" w:rsidRPr="00655C40" w:rsidRDefault="00655C40" w:rsidP="00655C40">
      <w:pPr>
        <w:pStyle w:val="Blocksatz"/>
        <w:rPr>
          <w:lang w:val="it-IT"/>
        </w:rPr>
      </w:pPr>
      <w:r w:rsidRPr="00655C40">
        <w:rPr>
          <w:lang w:val="it-IT"/>
        </w:rPr>
        <w:t>Il compenso tiene conto del fatto che [motivazione dell'adeguatezza]</w:t>
      </w:r>
      <w:r>
        <w:rPr>
          <w:lang w:val="it-IT"/>
        </w:rPr>
        <w:t>.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7F10EB" w:rsidRPr="007F10EB" w14:paraId="77729855" w14:textId="77777777" w:rsidTr="00A82D6B">
        <w:tc>
          <w:tcPr>
            <w:tcW w:w="9072" w:type="dxa"/>
          </w:tcPr>
          <w:p w14:paraId="798ED447" w14:textId="742879B6" w:rsidR="007F10EB" w:rsidRPr="007F10EB" w:rsidRDefault="00655C40" w:rsidP="00E06DFE">
            <w:pPr>
              <w:pStyle w:val="Blocksatz"/>
              <w:rPr>
                <w:i/>
              </w:rPr>
            </w:pPr>
            <w:r w:rsidRPr="00655C40">
              <w:rPr>
                <w:i/>
                <w:iCs/>
                <w:sz w:val="20"/>
                <w:szCs w:val="20"/>
                <w:lang w:val="it-IT"/>
              </w:rPr>
              <w:t xml:space="preserve">Nota: i compensi corrisposti al Consiglio di fondazione non devono ostacolare, né tantomeno impedire, il raggiungimento degli scopi della fondazione. </w:t>
            </w:r>
            <w:r w:rsidRPr="00655C40">
              <w:rPr>
                <w:i/>
                <w:iCs/>
                <w:sz w:val="20"/>
                <w:szCs w:val="20"/>
              </w:rPr>
              <w:t xml:space="preserve">Al contrario, </w:t>
            </w:r>
            <w:proofErr w:type="spellStart"/>
            <w:r w:rsidRPr="00655C40">
              <w:rPr>
                <w:i/>
                <w:iCs/>
                <w:sz w:val="20"/>
                <w:szCs w:val="20"/>
              </w:rPr>
              <w:t>devono</w:t>
            </w:r>
            <w:proofErr w:type="spellEnd"/>
            <w:r w:rsidRPr="00655C4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55C40">
              <w:rPr>
                <w:i/>
                <w:iCs/>
                <w:sz w:val="20"/>
                <w:szCs w:val="20"/>
              </w:rPr>
              <w:t>contribuire</w:t>
            </w:r>
            <w:proofErr w:type="spellEnd"/>
            <w:r w:rsidRPr="00655C40">
              <w:rPr>
                <w:i/>
                <w:iCs/>
                <w:sz w:val="20"/>
                <w:szCs w:val="20"/>
              </w:rPr>
              <w:t xml:space="preserve"> al </w:t>
            </w:r>
            <w:proofErr w:type="spellStart"/>
            <w:r w:rsidRPr="00655C40">
              <w:rPr>
                <w:i/>
                <w:iCs/>
                <w:sz w:val="20"/>
                <w:szCs w:val="20"/>
              </w:rPr>
              <w:t>raggiungimento</w:t>
            </w:r>
            <w:proofErr w:type="spellEnd"/>
            <w:r w:rsidRPr="00655C40">
              <w:rPr>
                <w:i/>
                <w:iCs/>
                <w:sz w:val="20"/>
                <w:szCs w:val="20"/>
              </w:rPr>
              <w:t xml:space="preserve"> di </w:t>
            </w:r>
            <w:proofErr w:type="spellStart"/>
            <w:r w:rsidRPr="00655C40">
              <w:rPr>
                <w:i/>
                <w:iCs/>
                <w:sz w:val="20"/>
                <w:szCs w:val="20"/>
              </w:rPr>
              <w:t>tali</w:t>
            </w:r>
            <w:proofErr w:type="spellEnd"/>
            <w:r w:rsidRPr="00655C4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55C40">
              <w:rPr>
                <w:i/>
                <w:iCs/>
                <w:sz w:val="20"/>
                <w:szCs w:val="20"/>
              </w:rPr>
              <w:t>scopi</w:t>
            </w:r>
            <w:proofErr w:type="spellEnd"/>
            <w:r w:rsidRPr="00655C40">
              <w:rPr>
                <w:i/>
                <w:iCs/>
                <w:sz w:val="20"/>
                <w:szCs w:val="20"/>
              </w:rPr>
              <w:t>.</w:t>
            </w:r>
            <w:r w:rsidR="007F10EB" w:rsidRPr="007F10EB">
              <w:rPr>
                <w:i/>
              </w:rPr>
              <w:t>.</w:t>
            </w:r>
          </w:p>
        </w:tc>
      </w:tr>
    </w:tbl>
    <w:p w14:paraId="212B13C7" w14:textId="0CEB0AA3" w:rsidR="00A82D6B" w:rsidRPr="00350AAE" w:rsidRDefault="00A82D6B" w:rsidP="00350AAE">
      <w:pPr>
        <w:pStyle w:val="Blocksatz"/>
      </w:pPr>
    </w:p>
    <w:p w14:paraId="299F3293" w14:textId="2F885B0F" w:rsidR="00751462" w:rsidRPr="00655C40" w:rsidRDefault="00655C40" w:rsidP="00350AAE">
      <w:pPr>
        <w:pStyle w:val="Blocksatz"/>
        <w:rPr>
          <w:lang w:val="it-IT"/>
        </w:rPr>
      </w:pPr>
      <w:r w:rsidRPr="00655C40">
        <w:rPr>
          <w:lang w:val="it-IT"/>
        </w:rPr>
        <w:t>La retribuzione tiene conto del fatto che [motivazione dell'adeguatezza</w:t>
      </w:r>
      <w:r w:rsidR="00812202" w:rsidRPr="00655C40">
        <w:rPr>
          <w:lang w:val="it-IT"/>
        </w:rPr>
        <w:t>].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7F10EB" w:rsidRPr="004F71CD" w14:paraId="575FBC41" w14:textId="77777777" w:rsidTr="00A82D6B">
        <w:tc>
          <w:tcPr>
            <w:tcW w:w="9072" w:type="dxa"/>
          </w:tcPr>
          <w:p w14:paraId="0A99D187" w14:textId="77777777" w:rsidR="00655C40" w:rsidRPr="00655C40" w:rsidRDefault="00655C40" w:rsidP="00655C40">
            <w:pPr>
              <w:pStyle w:val="Blocksatz"/>
              <w:rPr>
                <w:i/>
                <w:sz w:val="20"/>
                <w:szCs w:val="20"/>
                <w:lang w:val="it-IT"/>
              </w:rPr>
            </w:pPr>
            <w:r w:rsidRPr="00655C40">
              <w:rPr>
                <w:i/>
                <w:sz w:val="20"/>
                <w:szCs w:val="20"/>
                <w:lang w:val="it-IT"/>
              </w:rPr>
              <w:t>Nota: l'adeguatezza deve essere obbligatoriamente motivata in modo specifico per la fondazione in questione.</w:t>
            </w:r>
          </w:p>
          <w:p w14:paraId="55D53746" w14:textId="77777777" w:rsidR="00655C40" w:rsidRDefault="00655C40" w:rsidP="00655C40">
            <w:pPr>
              <w:pStyle w:val="Blocksatz"/>
              <w:rPr>
                <w:i/>
                <w:sz w:val="20"/>
                <w:szCs w:val="20"/>
                <w:lang w:val="it-IT"/>
              </w:rPr>
            </w:pPr>
            <w:r w:rsidRPr="0087592B">
              <w:rPr>
                <w:i/>
                <w:sz w:val="20"/>
                <w:szCs w:val="20"/>
                <w:lang w:val="it-IT"/>
              </w:rPr>
              <w:t>Esempio di possibile motivazione: la retribuzione tiene conto del fatto che</w:t>
            </w:r>
          </w:p>
          <w:p w14:paraId="37C69EEF" w14:textId="77777777" w:rsidR="0062304E" w:rsidRPr="0062304E" w:rsidRDefault="0062304E" w:rsidP="0062304E">
            <w:pPr>
              <w:ind w:firstLine="708"/>
              <w:rPr>
                <w:lang w:val="it-IT"/>
              </w:rPr>
            </w:pPr>
          </w:p>
          <w:p w14:paraId="7E38747F" w14:textId="27AFAE15" w:rsidR="00350AAE" w:rsidRPr="00655C40" w:rsidRDefault="00655C40" w:rsidP="00655C40">
            <w:pPr>
              <w:pStyle w:val="Blocksatz"/>
              <w:numPr>
                <w:ilvl w:val="0"/>
                <w:numId w:val="14"/>
              </w:numPr>
              <w:ind w:left="321" w:hanging="284"/>
              <w:rPr>
                <w:i/>
                <w:sz w:val="20"/>
                <w:szCs w:val="20"/>
                <w:lang w:val="it-IT"/>
              </w:rPr>
            </w:pPr>
            <w:r>
              <w:rPr>
                <w:i/>
                <w:sz w:val="20"/>
                <w:szCs w:val="20"/>
                <w:lang w:val="it-IT"/>
              </w:rPr>
              <w:lastRenderedPageBreak/>
              <w:t>L</w:t>
            </w:r>
            <w:r w:rsidRPr="00655C40">
              <w:rPr>
                <w:i/>
                <w:sz w:val="20"/>
                <w:szCs w:val="20"/>
                <w:lang w:val="it-IT"/>
              </w:rPr>
              <w:t xml:space="preserve">a fondazione </w:t>
            </w:r>
            <w:proofErr w:type="spellStart"/>
            <w:r w:rsidR="00AB2A66">
              <w:rPr>
                <w:i/>
                <w:sz w:val="20"/>
                <w:szCs w:val="20"/>
                <w:lang w:val="it-IT"/>
              </w:rPr>
              <w:t>é</w:t>
            </w:r>
            <w:proofErr w:type="spellEnd"/>
            <w:r w:rsidRPr="00655C40">
              <w:rPr>
                <w:i/>
                <w:sz w:val="20"/>
                <w:szCs w:val="20"/>
                <w:lang w:val="it-IT"/>
              </w:rPr>
              <w:t xml:space="preserve"> una fondazione che eroga sovvenzioni, la quale di norma esamina un numero molto elevato di domande individuali o eroga un numero molto elevato di sovvenzioni individuali; </w:t>
            </w:r>
            <w:r w:rsidRPr="00655C40">
              <w:rPr>
                <w:b/>
                <w:bCs/>
                <w:i/>
                <w:sz w:val="20"/>
                <w:szCs w:val="20"/>
                <w:lang w:val="it-IT"/>
              </w:rPr>
              <w:t>e</w:t>
            </w:r>
          </w:p>
          <w:p w14:paraId="6D02B207" w14:textId="0CC88F26" w:rsidR="00042B88" w:rsidRPr="00655C40" w:rsidRDefault="00655C40" w:rsidP="00350AAE">
            <w:pPr>
              <w:pStyle w:val="Blocksatz"/>
              <w:numPr>
                <w:ilvl w:val="0"/>
                <w:numId w:val="14"/>
              </w:numPr>
              <w:ind w:left="321" w:hanging="284"/>
              <w:rPr>
                <w:i/>
                <w:sz w:val="20"/>
                <w:szCs w:val="20"/>
                <w:lang w:val="it-IT"/>
              </w:rPr>
            </w:pPr>
            <w:r w:rsidRPr="00655C40">
              <w:rPr>
                <w:i/>
                <w:sz w:val="20"/>
                <w:szCs w:val="20"/>
                <w:lang w:val="it-IT"/>
              </w:rPr>
              <w:t>L'importo del compenso deve essere minimo rispetto all'importo complessivo delle sovvenzioni e al patrimonio della fondazione</w:t>
            </w:r>
            <w:r w:rsidR="007F10EB" w:rsidRPr="00655C40">
              <w:rPr>
                <w:i/>
                <w:sz w:val="20"/>
                <w:szCs w:val="20"/>
                <w:lang w:val="it-IT"/>
              </w:rPr>
              <w:t>.</w:t>
            </w:r>
          </w:p>
          <w:p w14:paraId="49F76ADC" w14:textId="3891C23F" w:rsidR="007F10EB" w:rsidRPr="00655C40" w:rsidRDefault="00655C40" w:rsidP="00E06DFE">
            <w:pPr>
              <w:pStyle w:val="Blocksatz"/>
              <w:rPr>
                <w:i/>
                <w:sz w:val="20"/>
                <w:szCs w:val="20"/>
                <w:lang w:val="it-IT"/>
              </w:rPr>
            </w:pPr>
            <w:r w:rsidRPr="00655C40">
              <w:rPr>
                <w:i/>
                <w:sz w:val="20"/>
                <w:szCs w:val="20"/>
                <w:lang w:val="it-IT"/>
              </w:rPr>
              <w:t>Nel motivare l'adeguatezza occorre tenere conto dei seguenti criteri</w:t>
            </w:r>
            <w:r w:rsidR="007F10EB" w:rsidRPr="00655C40">
              <w:rPr>
                <w:i/>
                <w:sz w:val="20"/>
                <w:szCs w:val="20"/>
                <w:lang w:val="it-IT"/>
              </w:rPr>
              <w:t>:</w:t>
            </w:r>
          </w:p>
          <w:p w14:paraId="0584EF43" w14:textId="77777777" w:rsidR="00042B88" w:rsidRPr="00655C40" w:rsidRDefault="00042B88" w:rsidP="00E06DFE">
            <w:pPr>
              <w:pStyle w:val="Blocksatz"/>
              <w:rPr>
                <w:i/>
                <w:sz w:val="20"/>
                <w:szCs w:val="20"/>
                <w:lang w:val="it-IT"/>
              </w:rPr>
            </w:pPr>
          </w:p>
          <w:p w14:paraId="33CB5855" w14:textId="6CE8E09A" w:rsidR="007F10EB" w:rsidRPr="00350AAE" w:rsidRDefault="007F10EB" w:rsidP="00E06DFE">
            <w:pPr>
              <w:pStyle w:val="Blocksatz"/>
              <w:rPr>
                <w:i/>
                <w:sz w:val="20"/>
                <w:szCs w:val="20"/>
                <w:u w:val="single"/>
              </w:rPr>
            </w:pPr>
            <w:r w:rsidRPr="00350AAE">
              <w:rPr>
                <w:i/>
                <w:sz w:val="20"/>
                <w:szCs w:val="20"/>
                <w:u w:val="single"/>
              </w:rPr>
              <w:t xml:space="preserve">A. </w:t>
            </w:r>
            <w:proofErr w:type="spellStart"/>
            <w:r w:rsidR="0087592B" w:rsidRPr="0087592B">
              <w:rPr>
                <w:i/>
                <w:sz w:val="20"/>
                <w:szCs w:val="20"/>
                <w:u w:val="single"/>
              </w:rPr>
              <w:t>Criteri</w:t>
            </w:r>
            <w:proofErr w:type="spellEnd"/>
            <w:r w:rsidR="0087592B" w:rsidRPr="0087592B">
              <w:rPr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="0087592B" w:rsidRPr="0087592B">
              <w:rPr>
                <w:i/>
                <w:sz w:val="20"/>
                <w:szCs w:val="20"/>
                <w:u w:val="single"/>
              </w:rPr>
              <w:t>relativi</w:t>
            </w:r>
            <w:proofErr w:type="spellEnd"/>
            <w:r w:rsidR="0087592B" w:rsidRPr="0087592B">
              <w:rPr>
                <w:i/>
                <w:sz w:val="20"/>
                <w:szCs w:val="20"/>
                <w:u w:val="single"/>
              </w:rPr>
              <w:t xml:space="preserve"> alla </w:t>
            </w:r>
            <w:proofErr w:type="spellStart"/>
            <w:r w:rsidR="0087592B" w:rsidRPr="0087592B">
              <w:rPr>
                <w:i/>
                <w:sz w:val="20"/>
                <w:szCs w:val="20"/>
                <w:u w:val="single"/>
              </w:rPr>
              <w:t>fondazione</w:t>
            </w:r>
            <w:proofErr w:type="spellEnd"/>
          </w:p>
          <w:p w14:paraId="076510A4" w14:textId="77777777" w:rsidR="0087592B" w:rsidRDefault="0087592B" w:rsidP="00CC6B45">
            <w:pPr>
              <w:pStyle w:val="Blocksatz"/>
              <w:numPr>
                <w:ilvl w:val="0"/>
                <w:numId w:val="15"/>
              </w:numPr>
              <w:ind w:left="321" w:hanging="284"/>
              <w:rPr>
                <w:i/>
                <w:sz w:val="20"/>
                <w:szCs w:val="20"/>
                <w:lang w:val="it-IT"/>
              </w:rPr>
            </w:pPr>
            <w:r w:rsidRPr="0087592B">
              <w:rPr>
                <w:i/>
                <w:sz w:val="20"/>
                <w:szCs w:val="20"/>
                <w:lang w:val="it-IT"/>
              </w:rPr>
              <w:t>Disposizioni del fondatore o della fondatrice contenute nell'atto costitutivo</w:t>
            </w:r>
          </w:p>
          <w:p w14:paraId="18E337C3" w14:textId="77777777" w:rsidR="0087592B" w:rsidRPr="0087592B" w:rsidRDefault="0087592B" w:rsidP="00CC6B45">
            <w:pPr>
              <w:pStyle w:val="Blocksatz"/>
              <w:numPr>
                <w:ilvl w:val="0"/>
                <w:numId w:val="15"/>
              </w:numPr>
              <w:ind w:left="321" w:hanging="284"/>
              <w:rPr>
                <w:i/>
                <w:sz w:val="20"/>
                <w:szCs w:val="20"/>
              </w:rPr>
            </w:pPr>
            <w:r w:rsidRPr="0087592B">
              <w:rPr>
                <w:i/>
                <w:sz w:val="20"/>
                <w:szCs w:val="20"/>
                <w:lang w:val="it-IT"/>
              </w:rPr>
              <w:t>Tipo di attività della fondazione</w:t>
            </w:r>
          </w:p>
          <w:p w14:paraId="2E8E052A" w14:textId="77777777" w:rsidR="0087592B" w:rsidRPr="003B7307" w:rsidRDefault="0087592B" w:rsidP="00CC6B45">
            <w:pPr>
              <w:pStyle w:val="Blocksatz"/>
              <w:numPr>
                <w:ilvl w:val="0"/>
                <w:numId w:val="15"/>
              </w:numPr>
              <w:ind w:left="321" w:hanging="284"/>
              <w:rPr>
                <w:i/>
                <w:sz w:val="20"/>
                <w:szCs w:val="20"/>
                <w:lang w:val="it-IT"/>
              </w:rPr>
            </w:pPr>
            <w:r w:rsidRPr="0087592B">
              <w:rPr>
                <w:i/>
                <w:sz w:val="20"/>
                <w:szCs w:val="20"/>
                <w:lang w:val="it-IT"/>
              </w:rPr>
              <w:t>Rapporto tra i costi amministrativi, compresi i compensi, e le prestazioni della fondazione (prestazioni di sostegno e/o operative)</w:t>
            </w:r>
          </w:p>
          <w:p w14:paraId="2D820E94" w14:textId="3E7276F0" w:rsidR="00CC6B45" w:rsidRPr="0087592B" w:rsidRDefault="0087592B" w:rsidP="00CC6B45">
            <w:pPr>
              <w:pStyle w:val="Blocksatz"/>
              <w:numPr>
                <w:ilvl w:val="0"/>
                <w:numId w:val="15"/>
              </w:numPr>
              <w:ind w:left="321" w:hanging="284"/>
              <w:rPr>
                <w:i/>
                <w:sz w:val="20"/>
                <w:szCs w:val="20"/>
                <w:lang w:val="it-IT"/>
              </w:rPr>
            </w:pPr>
            <w:r w:rsidRPr="0087592B">
              <w:rPr>
                <w:i/>
                <w:sz w:val="20"/>
                <w:szCs w:val="20"/>
                <w:lang w:val="it-IT"/>
              </w:rPr>
              <w:t>Entità de</w:t>
            </w:r>
            <w:r w:rsidR="0047080C">
              <w:rPr>
                <w:i/>
                <w:sz w:val="20"/>
                <w:szCs w:val="20"/>
                <w:lang w:val="it-IT"/>
              </w:rPr>
              <w:t xml:space="preserve">lle sovvenzioni </w:t>
            </w:r>
            <w:r w:rsidRPr="0087592B">
              <w:rPr>
                <w:i/>
                <w:sz w:val="20"/>
                <w:szCs w:val="20"/>
                <w:lang w:val="it-IT"/>
              </w:rPr>
              <w:t>o delle risorse disponibili per</w:t>
            </w:r>
            <w:r w:rsidR="0047080C">
              <w:rPr>
                <w:i/>
                <w:sz w:val="20"/>
                <w:szCs w:val="20"/>
                <w:lang w:val="it-IT"/>
              </w:rPr>
              <w:t xml:space="preserve"> le sovvenzioni</w:t>
            </w:r>
            <w:r w:rsidRPr="0087592B">
              <w:rPr>
                <w:i/>
                <w:sz w:val="20"/>
                <w:szCs w:val="20"/>
                <w:lang w:val="it-IT"/>
              </w:rPr>
              <w:t xml:space="preserve">. Il rapporto tra i compensi e </w:t>
            </w:r>
            <w:r w:rsidR="0047080C">
              <w:rPr>
                <w:i/>
                <w:sz w:val="20"/>
                <w:szCs w:val="20"/>
                <w:lang w:val="it-IT"/>
              </w:rPr>
              <w:t xml:space="preserve">le sovvenzioni </w:t>
            </w:r>
            <w:r w:rsidRPr="0087592B">
              <w:rPr>
                <w:i/>
                <w:sz w:val="20"/>
                <w:szCs w:val="20"/>
                <w:lang w:val="it-IT"/>
              </w:rPr>
              <w:t>deve essere adeguato, ovvero i compensi devono rappresentare, di norma, solo una piccola parte de</w:t>
            </w:r>
            <w:r w:rsidR="0047080C">
              <w:rPr>
                <w:i/>
                <w:sz w:val="20"/>
                <w:szCs w:val="20"/>
                <w:lang w:val="it-IT"/>
              </w:rPr>
              <w:t>lle sovvenzioni</w:t>
            </w:r>
          </w:p>
          <w:p w14:paraId="3B56F2C9" w14:textId="271BEBEF" w:rsidR="00CC6B45" w:rsidRPr="0087592B" w:rsidRDefault="0087592B" w:rsidP="00CC6B45">
            <w:pPr>
              <w:pStyle w:val="Blocksatz"/>
              <w:numPr>
                <w:ilvl w:val="0"/>
                <w:numId w:val="15"/>
              </w:numPr>
              <w:ind w:left="321" w:hanging="284"/>
              <w:rPr>
                <w:i/>
                <w:sz w:val="20"/>
                <w:szCs w:val="20"/>
                <w:lang w:val="it-IT"/>
              </w:rPr>
            </w:pPr>
            <w:r w:rsidRPr="0087592B">
              <w:rPr>
                <w:i/>
                <w:sz w:val="20"/>
                <w:szCs w:val="20"/>
                <w:lang w:val="it-IT"/>
              </w:rPr>
              <w:t>Specificità e complessità dello scopo della fondazione</w:t>
            </w:r>
          </w:p>
          <w:p w14:paraId="259606BA" w14:textId="2160ABA6" w:rsidR="00CC6B45" w:rsidRPr="0087592B" w:rsidRDefault="0087592B" w:rsidP="00CC6B45">
            <w:pPr>
              <w:pStyle w:val="Blocksatz"/>
              <w:numPr>
                <w:ilvl w:val="0"/>
                <w:numId w:val="15"/>
              </w:numPr>
              <w:ind w:left="321" w:hanging="284"/>
              <w:rPr>
                <w:i/>
                <w:sz w:val="20"/>
                <w:szCs w:val="20"/>
                <w:lang w:val="it-IT"/>
              </w:rPr>
            </w:pPr>
            <w:r w:rsidRPr="0087592B">
              <w:rPr>
                <w:i/>
                <w:sz w:val="20"/>
                <w:szCs w:val="20"/>
                <w:lang w:val="it-IT"/>
              </w:rPr>
              <w:t>Dimensione e struttura del patrimonio della fondazione</w:t>
            </w:r>
          </w:p>
          <w:p w14:paraId="5F34E6BE" w14:textId="77777777" w:rsidR="0087592B" w:rsidRPr="0087592B" w:rsidRDefault="0087592B" w:rsidP="00CC6B45">
            <w:pPr>
              <w:pStyle w:val="Blocksatz"/>
              <w:numPr>
                <w:ilvl w:val="0"/>
                <w:numId w:val="15"/>
              </w:numPr>
              <w:ind w:left="321" w:hanging="284"/>
              <w:rPr>
                <w:i/>
                <w:sz w:val="20"/>
                <w:szCs w:val="20"/>
                <w:lang w:val="it-IT"/>
              </w:rPr>
            </w:pPr>
            <w:r w:rsidRPr="0087592B">
              <w:rPr>
                <w:i/>
                <w:sz w:val="20"/>
                <w:szCs w:val="20"/>
                <w:lang w:val="it-IT"/>
              </w:rPr>
              <w:t>Dimensioni operative della fondazione / Totale di bilancio</w:t>
            </w:r>
          </w:p>
          <w:p w14:paraId="5143EEEF" w14:textId="795895F0" w:rsidR="0087592B" w:rsidRPr="0087592B" w:rsidRDefault="0087592B" w:rsidP="0087592B">
            <w:pPr>
              <w:pStyle w:val="Blocksatz"/>
              <w:numPr>
                <w:ilvl w:val="0"/>
                <w:numId w:val="15"/>
              </w:numPr>
              <w:ind w:left="321" w:hanging="284"/>
              <w:rPr>
                <w:i/>
                <w:sz w:val="20"/>
                <w:szCs w:val="20"/>
                <w:lang w:val="it-IT"/>
              </w:rPr>
            </w:pPr>
            <w:r w:rsidRPr="0087592B">
              <w:rPr>
                <w:i/>
                <w:sz w:val="20"/>
                <w:szCs w:val="20"/>
                <w:lang w:val="it-IT"/>
              </w:rPr>
              <w:t xml:space="preserve">Numero dei membri del </w:t>
            </w:r>
            <w:r w:rsidR="00AB2A66">
              <w:rPr>
                <w:i/>
                <w:sz w:val="20"/>
                <w:szCs w:val="20"/>
                <w:lang w:val="it-IT"/>
              </w:rPr>
              <w:t>C</w:t>
            </w:r>
            <w:r w:rsidRPr="0087592B">
              <w:rPr>
                <w:i/>
                <w:sz w:val="20"/>
                <w:szCs w:val="20"/>
                <w:lang w:val="it-IT"/>
              </w:rPr>
              <w:t>onsiglio di fondazione</w:t>
            </w:r>
          </w:p>
          <w:p w14:paraId="1E2419C4" w14:textId="347A6FC7" w:rsidR="00812202" w:rsidRDefault="0087592B" w:rsidP="0087592B">
            <w:pPr>
              <w:pStyle w:val="Blocksatz"/>
              <w:numPr>
                <w:ilvl w:val="0"/>
                <w:numId w:val="15"/>
              </w:numPr>
              <w:ind w:left="321" w:hanging="284"/>
              <w:rPr>
                <w:i/>
                <w:sz w:val="20"/>
                <w:szCs w:val="20"/>
                <w:lang w:val="it-IT"/>
              </w:rPr>
            </w:pPr>
            <w:r w:rsidRPr="0087592B">
              <w:rPr>
                <w:i/>
                <w:sz w:val="20"/>
                <w:szCs w:val="20"/>
                <w:lang w:val="it-IT"/>
              </w:rPr>
              <w:t xml:space="preserve">Numero degli organi della fondazione e rapporto tra i compensi del </w:t>
            </w:r>
            <w:r w:rsidR="00AB2A66">
              <w:rPr>
                <w:i/>
                <w:sz w:val="20"/>
                <w:szCs w:val="20"/>
                <w:lang w:val="it-IT"/>
              </w:rPr>
              <w:t>C</w:t>
            </w:r>
            <w:r w:rsidRPr="0087592B">
              <w:rPr>
                <w:i/>
                <w:sz w:val="20"/>
                <w:szCs w:val="20"/>
                <w:lang w:val="it-IT"/>
              </w:rPr>
              <w:t>onsiglio di fondazione e quelli degli altri organi della fondazione, se presenti</w:t>
            </w:r>
          </w:p>
          <w:p w14:paraId="3BBA2FD4" w14:textId="77777777" w:rsidR="0087592B" w:rsidRPr="00EE2CB4" w:rsidRDefault="0087592B" w:rsidP="0087592B">
            <w:pPr>
              <w:pStyle w:val="Blocksatz"/>
              <w:rPr>
                <w:i/>
                <w:sz w:val="20"/>
                <w:szCs w:val="20"/>
                <w:lang w:val="it-IT"/>
              </w:rPr>
            </w:pPr>
          </w:p>
          <w:p w14:paraId="1A2FCB90" w14:textId="431942E0" w:rsidR="007F10EB" w:rsidRPr="001648B2" w:rsidRDefault="007F10EB" w:rsidP="00E06DFE">
            <w:pPr>
              <w:pStyle w:val="Blocksatz"/>
              <w:rPr>
                <w:i/>
                <w:sz w:val="20"/>
                <w:szCs w:val="20"/>
                <w:u w:val="single"/>
                <w:lang w:val="it-IT"/>
              </w:rPr>
            </w:pPr>
            <w:r w:rsidRPr="001648B2">
              <w:rPr>
                <w:i/>
                <w:sz w:val="20"/>
                <w:szCs w:val="20"/>
                <w:u w:val="single"/>
                <w:lang w:val="it-IT"/>
              </w:rPr>
              <w:t xml:space="preserve">B. </w:t>
            </w:r>
            <w:r w:rsidR="001648B2" w:rsidRPr="001648B2">
              <w:rPr>
                <w:i/>
                <w:sz w:val="20"/>
                <w:szCs w:val="20"/>
                <w:u w:val="single"/>
                <w:lang w:val="it-IT"/>
              </w:rPr>
              <w:t>Criteri relativi al mandato</w:t>
            </w:r>
          </w:p>
          <w:p w14:paraId="5B266E7A" w14:textId="57084FF2" w:rsidR="00CC6B45" w:rsidRPr="001648B2" w:rsidRDefault="001648B2" w:rsidP="00CC6B45">
            <w:pPr>
              <w:pStyle w:val="Blocksatz"/>
              <w:numPr>
                <w:ilvl w:val="0"/>
                <w:numId w:val="16"/>
              </w:numPr>
              <w:ind w:left="321" w:hanging="284"/>
              <w:rPr>
                <w:i/>
                <w:sz w:val="20"/>
                <w:szCs w:val="20"/>
                <w:lang w:val="it-IT"/>
              </w:rPr>
            </w:pPr>
            <w:r w:rsidRPr="001648B2">
              <w:rPr>
                <w:i/>
                <w:sz w:val="20"/>
                <w:szCs w:val="20"/>
                <w:lang w:val="it-IT"/>
              </w:rPr>
              <w:t>Impegno in termini di tempo su base annua. L'impegno in termini di tempo comprende tutte le attività svolte nell'interesse e a beneficio della fondazione: il numero e la durata delle riunioni del Consiglio di fondazione, delle commissioni, delle riunioni strategiche ecc., la loro preparazione e il lavoro di follow-up, la corrispondenza, le riunioni interne ed esterne alla fondazione, i contatti con terzi quali beneficiari, autorità, banche, consulenti, partner di progetto ecc.</w:t>
            </w:r>
          </w:p>
          <w:p w14:paraId="002BB627" w14:textId="77777777" w:rsidR="001648B2" w:rsidRDefault="001648B2" w:rsidP="00CC6B45">
            <w:pPr>
              <w:pStyle w:val="Blocksatz"/>
              <w:numPr>
                <w:ilvl w:val="0"/>
                <w:numId w:val="16"/>
              </w:numPr>
              <w:ind w:left="321" w:hanging="284"/>
              <w:rPr>
                <w:i/>
                <w:sz w:val="20"/>
                <w:szCs w:val="20"/>
                <w:lang w:val="it-IT"/>
              </w:rPr>
            </w:pPr>
            <w:r w:rsidRPr="001648B2">
              <w:rPr>
                <w:i/>
                <w:sz w:val="20"/>
                <w:szCs w:val="20"/>
                <w:lang w:val="it-IT"/>
              </w:rPr>
              <w:t>Ruolo, funzione e compiti all'interno del Consiglio di fondazione (presidente, vicepresidente, membro, membro di commissioni ecc.)</w:t>
            </w:r>
          </w:p>
          <w:p w14:paraId="425BDADD" w14:textId="77777777" w:rsidR="001648B2" w:rsidRPr="001648B2" w:rsidRDefault="001648B2" w:rsidP="001648B2">
            <w:pPr>
              <w:pStyle w:val="Blocksatz"/>
              <w:numPr>
                <w:ilvl w:val="0"/>
                <w:numId w:val="16"/>
              </w:numPr>
              <w:ind w:left="321" w:hanging="284"/>
              <w:rPr>
                <w:i/>
                <w:sz w:val="20"/>
                <w:szCs w:val="20"/>
                <w:lang w:val="it-IT"/>
              </w:rPr>
            </w:pPr>
            <w:r w:rsidRPr="001648B2">
              <w:rPr>
                <w:i/>
                <w:sz w:val="20"/>
                <w:szCs w:val="20"/>
                <w:lang w:val="it-IT"/>
              </w:rPr>
              <w:t>Entità della responsabilità da assumersi, presenza o meno di un amministratore delegato</w:t>
            </w:r>
          </w:p>
          <w:p w14:paraId="63D27437" w14:textId="4F1A632F" w:rsidR="00042B88" w:rsidRDefault="001648B2" w:rsidP="001648B2">
            <w:pPr>
              <w:pStyle w:val="Blocksatz"/>
              <w:numPr>
                <w:ilvl w:val="0"/>
                <w:numId w:val="16"/>
              </w:numPr>
              <w:ind w:left="321" w:hanging="284"/>
              <w:rPr>
                <w:i/>
                <w:sz w:val="20"/>
                <w:szCs w:val="20"/>
                <w:lang w:val="it-IT"/>
              </w:rPr>
            </w:pPr>
            <w:r w:rsidRPr="001648B2">
              <w:rPr>
                <w:i/>
                <w:sz w:val="20"/>
                <w:szCs w:val="20"/>
                <w:lang w:val="it-IT"/>
              </w:rPr>
              <w:t>Difficoltà e complessità dell'attività del Consiglio di fondazione o dell'attività del singolo membro del Consiglio di fondazione</w:t>
            </w:r>
          </w:p>
          <w:p w14:paraId="5F0C2F21" w14:textId="77777777" w:rsidR="001648B2" w:rsidRPr="001648B2" w:rsidRDefault="001648B2" w:rsidP="001648B2">
            <w:pPr>
              <w:pStyle w:val="Blocksatz"/>
              <w:ind w:left="37"/>
              <w:rPr>
                <w:i/>
                <w:sz w:val="20"/>
                <w:szCs w:val="20"/>
                <w:lang w:val="it-IT"/>
              </w:rPr>
            </w:pPr>
          </w:p>
          <w:p w14:paraId="101BBFC2" w14:textId="6DFFE81C" w:rsidR="00812202" w:rsidRPr="00EE2CB4" w:rsidRDefault="007F10EB" w:rsidP="00E06DFE">
            <w:pPr>
              <w:pStyle w:val="Blocksatz"/>
              <w:rPr>
                <w:i/>
                <w:sz w:val="20"/>
                <w:szCs w:val="20"/>
                <w:u w:val="single"/>
                <w:lang w:val="it-IT"/>
              </w:rPr>
            </w:pPr>
            <w:r w:rsidRPr="00EE2CB4">
              <w:rPr>
                <w:i/>
                <w:sz w:val="20"/>
                <w:szCs w:val="20"/>
                <w:u w:val="single"/>
                <w:lang w:val="it-IT"/>
              </w:rPr>
              <w:t xml:space="preserve">C. </w:t>
            </w:r>
            <w:r w:rsidR="00EE2CB4" w:rsidRPr="00EE2CB4">
              <w:rPr>
                <w:i/>
                <w:sz w:val="20"/>
                <w:szCs w:val="20"/>
                <w:u w:val="single"/>
                <w:lang w:val="it-IT"/>
              </w:rPr>
              <w:t>Criteri relativi alle persone</w:t>
            </w:r>
          </w:p>
          <w:p w14:paraId="1938E832" w14:textId="77777777" w:rsidR="00EE2CB4" w:rsidRPr="00EE2CB4" w:rsidRDefault="00EE2CB4" w:rsidP="00CC6B45">
            <w:pPr>
              <w:pStyle w:val="Blocksatz"/>
              <w:numPr>
                <w:ilvl w:val="0"/>
                <w:numId w:val="20"/>
              </w:numPr>
              <w:ind w:left="321" w:hanging="284"/>
              <w:rPr>
                <w:i/>
                <w:sz w:val="20"/>
                <w:szCs w:val="20"/>
                <w:u w:val="single"/>
              </w:rPr>
            </w:pPr>
            <w:proofErr w:type="spellStart"/>
            <w:r w:rsidRPr="00EE2CB4">
              <w:rPr>
                <w:i/>
                <w:sz w:val="20"/>
                <w:szCs w:val="20"/>
              </w:rPr>
              <w:t>Competenze</w:t>
            </w:r>
            <w:proofErr w:type="spellEnd"/>
            <w:r w:rsidRPr="00EE2CB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E2CB4">
              <w:rPr>
                <w:i/>
                <w:sz w:val="20"/>
                <w:szCs w:val="20"/>
              </w:rPr>
              <w:t>specialistiche</w:t>
            </w:r>
            <w:proofErr w:type="spellEnd"/>
            <w:r w:rsidRPr="00EE2CB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E2CB4">
              <w:rPr>
                <w:i/>
                <w:sz w:val="20"/>
                <w:szCs w:val="20"/>
              </w:rPr>
              <w:t>ed</w:t>
            </w:r>
            <w:proofErr w:type="spellEnd"/>
            <w:r w:rsidRPr="00EE2CB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E2CB4">
              <w:rPr>
                <w:i/>
                <w:sz w:val="20"/>
                <w:szCs w:val="20"/>
              </w:rPr>
              <w:t>esperienza</w:t>
            </w:r>
            <w:proofErr w:type="spellEnd"/>
            <w:r w:rsidRPr="00EE2CB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E2CB4">
              <w:rPr>
                <w:i/>
                <w:sz w:val="20"/>
                <w:szCs w:val="20"/>
              </w:rPr>
              <w:t>pratica</w:t>
            </w:r>
            <w:proofErr w:type="spellEnd"/>
          </w:p>
          <w:p w14:paraId="4C40EB58" w14:textId="77777777" w:rsidR="00EE2CB4" w:rsidRPr="00EE2CB4" w:rsidRDefault="00EE2CB4" w:rsidP="00CC6B45">
            <w:pPr>
              <w:pStyle w:val="Blocksatz"/>
              <w:numPr>
                <w:ilvl w:val="0"/>
                <w:numId w:val="20"/>
              </w:numPr>
              <w:ind w:left="321" w:hanging="284"/>
              <w:rPr>
                <w:i/>
                <w:sz w:val="20"/>
                <w:szCs w:val="20"/>
                <w:u w:val="single"/>
                <w:lang w:val="it-IT"/>
              </w:rPr>
            </w:pPr>
            <w:r w:rsidRPr="00EE2CB4">
              <w:rPr>
                <w:i/>
                <w:sz w:val="20"/>
                <w:szCs w:val="20"/>
                <w:lang w:val="it-IT"/>
              </w:rPr>
              <w:t>Altri incarichi o attività nell'ambito dei quali o a carico dei quali viene svolto il mandato</w:t>
            </w:r>
          </w:p>
          <w:p w14:paraId="2ECF6E78" w14:textId="77777777" w:rsidR="00EE2CB4" w:rsidRPr="00EE2CB4" w:rsidRDefault="00EE2CB4" w:rsidP="00CC6B45">
            <w:pPr>
              <w:pStyle w:val="Blocksatz"/>
              <w:numPr>
                <w:ilvl w:val="0"/>
                <w:numId w:val="20"/>
              </w:numPr>
              <w:ind w:left="321" w:hanging="284"/>
              <w:rPr>
                <w:i/>
                <w:sz w:val="20"/>
                <w:szCs w:val="20"/>
                <w:u w:val="single"/>
              </w:rPr>
            </w:pPr>
            <w:proofErr w:type="spellStart"/>
            <w:r w:rsidRPr="00EE2CB4">
              <w:rPr>
                <w:i/>
                <w:sz w:val="20"/>
                <w:szCs w:val="20"/>
              </w:rPr>
              <w:t>Impegno</w:t>
            </w:r>
            <w:proofErr w:type="spellEnd"/>
            <w:r w:rsidRPr="00EE2CB4">
              <w:rPr>
                <w:i/>
                <w:sz w:val="20"/>
                <w:szCs w:val="20"/>
              </w:rPr>
              <w:t xml:space="preserve"> personale</w:t>
            </w:r>
          </w:p>
          <w:p w14:paraId="66313C56" w14:textId="47BD305E" w:rsidR="00EE2CB4" w:rsidRPr="00EE2CB4" w:rsidRDefault="00EE2CB4" w:rsidP="00EE2CB4">
            <w:pPr>
              <w:pStyle w:val="Blocksatz"/>
              <w:numPr>
                <w:ilvl w:val="0"/>
                <w:numId w:val="20"/>
              </w:numPr>
              <w:ind w:left="321" w:hanging="284"/>
              <w:rPr>
                <w:i/>
                <w:sz w:val="20"/>
                <w:szCs w:val="20"/>
                <w:u w:val="single"/>
                <w:lang w:val="it-IT"/>
              </w:rPr>
            </w:pPr>
            <w:r w:rsidRPr="00EE2CB4">
              <w:rPr>
                <w:i/>
                <w:sz w:val="20"/>
                <w:szCs w:val="20"/>
                <w:lang w:val="it-IT"/>
              </w:rPr>
              <w:t>Valore reputazionale del membro del Consiglio di fondazione per la fondazione</w:t>
            </w:r>
          </w:p>
          <w:p w14:paraId="35E46DEE" w14:textId="6332FBC6" w:rsidR="00042B88" w:rsidRPr="00EE2CB4" w:rsidRDefault="00EE2CB4" w:rsidP="00CC6B45">
            <w:pPr>
              <w:pStyle w:val="Blocksatz"/>
              <w:numPr>
                <w:ilvl w:val="0"/>
                <w:numId w:val="20"/>
              </w:numPr>
              <w:ind w:left="321" w:hanging="284"/>
              <w:rPr>
                <w:i/>
                <w:sz w:val="20"/>
                <w:szCs w:val="20"/>
                <w:u w:val="single"/>
                <w:lang w:val="it-IT"/>
              </w:rPr>
            </w:pPr>
            <w:r w:rsidRPr="00EE2CB4">
              <w:rPr>
                <w:i/>
                <w:sz w:val="20"/>
                <w:szCs w:val="20"/>
                <w:lang w:val="it-IT"/>
              </w:rPr>
              <w:t>Valore reputazionale della fondazione per il membro del Consiglio di fondazione</w:t>
            </w:r>
          </w:p>
          <w:p w14:paraId="1087C66F" w14:textId="77777777" w:rsidR="00CC6B45" w:rsidRPr="00EE2CB4" w:rsidRDefault="00CC6B45" w:rsidP="00CC6B45">
            <w:pPr>
              <w:pStyle w:val="Blocksatz"/>
              <w:ind w:left="37"/>
              <w:rPr>
                <w:i/>
                <w:sz w:val="20"/>
                <w:szCs w:val="20"/>
                <w:u w:val="single"/>
                <w:lang w:val="it-IT"/>
              </w:rPr>
            </w:pPr>
          </w:p>
          <w:p w14:paraId="6E9EA653" w14:textId="5570E4D1" w:rsidR="007F10EB" w:rsidRPr="00EE2CB4" w:rsidRDefault="00EE2CB4" w:rsidP="00E06DFE">
            <w:pPr>
              <w:pStyle w:val="Blocksatz"/>
              <w:rPr>
                <w:i/>
                <w:sz w:val="20"/>
                <w:szCs w:val="20"/>
                <w:lang w:val="it-IT"/>
              </w:rPr>
            </w:pPr>
            <w:r w:rsidRPr="00EE2CB4">
              <w:rPr>
                <w:i/>
                <w:sz w:val="20"/>
                <w:szCs w:val="20"/>
                <w:lang w:val="it-IT"/>
              </w:rPr>
              <w:t>Il limite massimo per i compensi è raggiunto quando il compenso corrisposto non è più conforme agli interessi della fondazione, ovvero quando non contribuisce più alla realizzazione dello scopo della fondazione</w:t>
            </w:r>
            <w:r w:rsidR="007F10EB" w:rsidRPr="00EE2CB4">
              <w:rPr>
                <w:i/>
                <w:sz w:val="20"/>
                <w:szCs w:val="20"/>
                <w:lang w:val="it-IT"/>
              </w:rPr>
              <w:t>.</w:t>
            </w:r>
          </w:p>
        </w:tc>
      </w:tr>
    </w:tbl>
    <w:p w14:paraId="27D46649" w14:textId="415319E8" w:rsidR="00812202" w:rsidRPr="00EE2CB4" w:rsidRDefault="00EE2CB4" w:rsidP="008102C4">
      <w:pPr>
        <w:pStyle w:val="Blocksatz"/>
        <w:numPr>
          <w:ilvl w:val="0"/>
          <w:numId w:val="27"/>
        </w:numPr>
        <w:rPr>
          <w:b/>
          <w:bCs/>
          <w:lang w:val="it-IT"/>
        </w:rPr>
      </w:pPr>
      <w:r w:rsidRPr="00514319">
        <w:rPr>
          <w:rFonts w:cs="Arial"/>
          <w:b/>
          <w:bCs/>
          <w:lang w:val="it-IT"/>
        </w:rPr>
        <w:lastRenderedPageBreak/>
        <w:t>Remunerazione del Consiglio di fondazione</w:t>
      </w:r>
    </w:p>
    <w:p w14:paraId="435ED22B" w14:textId="5C44128D" w:rsidR="00812202" w:rsidRPr="00EE2CB4" w:rsidRDefault="00EE2CB4" w:rsidP="00CC6B45">
      <w:pPr>
        <w:pStyle w:val="Blocksatz"/>
        <w:rPr>
          <w:lang w:val="it-IT"/>
        </w:rPr>
      </w:pPr>
      <w:r w:rsidRPr="00EE2CB4">
        <w:rPr>
          <w:lang w:val="it-IT"/>
        </w:rPr>
        <w:t>Il Consiglio di fondazione riceve un compenso forfettario per la propria attività, come indicato di seguito</w:t>
      </w:r>
      <w:r w:rsidR="007F10EB" w:rsidRPr="00EE2CB4">
        <w:rPr>
          <w:lang w:val="it-IT"/>
        </w:rPr>
        <w:t>: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698"/>
      </w:tblGrid>
      <w:tr w:rsidR="0084067F" w14:paraId="5676DC42" w14:textId="77777777" w:rsidTr="00CC6B45">
        <w:tc>
          <w:tcPr>
            <w:tcW w:w="6374" w:type="dxa"/>
            <w:tcBorders>
              <w:bottom w:val="single" w:sz="4" w:space="0" w:color="auto"/>
            </w:tcBorders>
          </w:tcPr>
          <w:p w14:paraId="5A913C54" w14:textId="0605AF53" w:rsidR="0084067F" w:rsidRPr="002B66D9" w:rsidRDefault="0084067F" w:rsidP="00E06DFE">
            <w:pPr>
              <w:pStyle w:val="Blocksatz"/>
              <w:rPr>
                <w:sz w:val="20"/>
                <w:szCs w:val="20"/>
              </w:rPr>
            </w:pPr>
            <w:r w:rsidRPr="002B66D9">
              <w:rPr>
                <w:sz w:val="20"/>
                <w:szCs w:val="20"/>
              </w:rPr>
              <w:t>Pr</w:t>
            </w:r>
            <w:r w:rsidR="00EE2CB4">
              <w:rPr>
                <w:sz w:val="20"/>
                <w:szCs w:val="20"/>
              </w:rPr>
              <w:t>esidente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10C4517D" w14:textId="44FF70FC" w:rsidR="0084067F" w:rsidRPr="002B66D9" w:rsidRDefault="0084067F" w:rsidP="00E06DFE">
            <w:pPr>
              <w:pStyle w:val="Blocksatz"/>
              <w:rPr>
                <w:sz w:val="20"/>
                <w:szCs w:val="20"/>
              </w:rPr>
            </w:pPr>
            <w:r w:rsidRPr="002B66D9">
              <w:rPr>
                <w:sz w:val="20"/>
                <w:szCs w:val="20"/>
              </w:rPr>
              <w:t>[</w:t>
            </w:r>
            <w:r w:rsidRPr="002B66D9">
              <w:rPr>
                <w:sz w:val="20"/>
                <w:szCs w:val="20"/>
                <w:highlight w:val="lightGray"/>
              </w:rPr>
              <w:t>…</w:t>
            </w:r>
            <w:r w:rsidRPr="002B66D9">
              <w:rPr>
                <w:sz w:val="20"/>
                <w:szCs w:val="20"/>
              </w:rPr>
              <w:t>]</w:t>
            </w:r>
          </w:p>
        </w:tc>
      </w:tr>
      <w:tr w:rsidR="0084067F" w14:paraId="52DF700C" w14:textId="77777777" w:rsidTr="00CC6B45"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</w:tcPr>
          <w:p w14:paraId="28ECC47E" w14:textId="38CF85C8" w:rsidR="0084067F" w:rsidRPr="00EE2CB4" w:rsidRDefault="00EE2CB4" w:rsidP="00E06DFE">
            <w:pPr>
              <w:pStyle w:val="Blocksatz"/>
              <w:rPr>
                <w:sz w:val="20"/>
                <w:szCs w:val="20"/>
                <w:lang w:val="it-IT"/>
              </w:rPr>
            </w:pPr>
            <w:r w:rsidRPr="00EE2CB4">
              <w:rPr>
                <w:sz w:val="20"/>
                <w:szCs w:val="20"/>
                <w:lang w:val="it-IT"/>
              </w:rPr>
              <w:t xml:space="preserve">Membro del </w:t>
            </w:r>
            <w:r w:rsidR="00AB2A66">
              <w:rPr>
                <w:sz w:val="20"/>
                <w:szCs w:val="20"/>
                <w:lang w:val="it-IT"/>
              </w:rPr>
              <w:t>C</w:t>
            </w:r>
            <w:r w:rsidRPr="00EE2CB4">
              <w:rPr>
                <w:sz w:val="20"/>
                <w:szCs w:val="20"/>
                <w:lang w:val="it-IT"/>
              </w:rPr>
              <w:t>onsiglio di fon</w:t>
            </w:r>
            <w:r>
              <w:rPr>
                <w:sz w:val="20"/>
                <w:szCs w:val="20"/>
                <w:lang w:val="it-IT"/>
              </w:rPr>
              <w:t>dazione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1E3ADA8F" w14:textId="169E4453" w:rsidR="0084067F" w:rsidRPr="002B66D9" w:rsidRDefault="0084067F" w:rsidP="00E06DFE">
            <w:pPr>
              <w:pStyle w:val="Blocksatz"/>
              <w:rPr>
                <w:sz w:val="20"/>
                <w:szCs w:val="20"/>
              </w:rPr>
            </w:pPr>
            <w:r w:rsidRPr="002B66D9">
              <w:rPr>
                <w:sz w:val="20"/>
                <w:szCs w:val="20"/>
              </w:rPr>
              <w:t>[</w:t>
            </w:r>
            <w:r w:rsidRPr="002B66D9">
              <w:rPr>
                <w:sz w:val="20"/>
                <w:szCs w:val="20"/>
                <w:highlight w:val="lightGray"/>
              </w:rPr>
              <w:t>…</w:t>
            </w:r>
            <w:r w:rsidRPr="002B66D9">
              <w:rPr>
                <w:sz w:val="20"/>
                <w:szCs w:val="20"/>
              </w:rPr>
              <w:t>]</w:t>
            </w:r>
          </w:p>
        </w:tc>
      </w:tr>
      <w:tr w:rsidR="0084067F" w14:paraId="386DB230" w14:textId="77777777" w:rsidTr="00CC6B45">
        <w:tc>
          <w:tcPr>
            <w:tcW w:w="6374" w:type="dxa"/>
            <w:tcBorders>
              <w:top w:val="single" w:sz="4" w:space="0" w:color="auto"/>
            </w:tcBorders>
          </w:tcPr>
          <w:p w14:paraId="60DA5CDE" w14:textId="5FD2529E" w:rsidR="0084067F" w:rsidRPr="00EE2CB4" w:rsidRDefault="00EE2CB4" w:rsidP="00E06DFE">
            <w:pPr>
              <w:pStyle w:val="Blocksatz"/>
              <w:rPr>
                <w:sz w:val="20"/>
                <w:szCs w:val="20"/>
                <w:lang w:val="it-IT"/>
              </w:rPr>
            </w:pPr>
            <w:r w:rsidRPr="00EE2CB4">
              <w:rPr>
                <w:sz w:val="20"/>
                <w:szCs w:val="20"/>
                <w:lang w:val="it-IT"/>
              </w:rPr>
              <w:t xml:space="preserve">Se del caso: membro di una commissione del </w:t>
            </w:r>
            <w:r w:rsidR="00AB2A66">
              <w:rPr>
                <w:sz w:val="20"/>
                <w:szCs w:val="20"/>
                <w:lang w:val="it-IT"/>
              </w:rPr>
              <w:t>C</w:t>
            </w:r>
            <w:r w:rsidRPr="00EE2CB4">
              <w:rPr>
                <w:sz w:val="20"/>
                <w:szCs w:val="20"/>
                <w:lang w:val="it-IT"/>
              </w:rPr>
              <w:t>onsiglio di fondazione</w:t>
            </w: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342988B1" w14:textId="50AFD049" w:rsidR="0084067F" w:rsidRPr="002B66D9" w:rsidRDefault="0084067F" w:rsidP="00E06DFE">
            <w:pPr>
              <w:pStyle w:val="Blocksatz"/>
              <w:rPr>
                <w:sz w:val="20"/>
                <w:szCs w:val="20"/>
              </w:rPr>
            </w:pPr>
            <w:r w:rsidRPr="002B66D9">
              <w:rPr>
                <w:sz w:val="20"/>
                <w:szCs w:val="20"/>
              </w:rPr>
              <w:t>[</w:t>
            </w:r>
            <w:r w:rsidRPr="002B66D9">
              <w:rPr>
                <w:sz w:val="20"/>
                <w:szCs w:val="20"/>
                <w:highlight w:val="lightGray"/>
              </w:rPr>
              <w:t>…</w:t>
            </w:r>
            <w:r w:rsidRPr="002B66D9">
              <w:rPr>
                <w:sz w:val="20"/>
                <w:szCs w:val="20"/>
              </w:rPr>
              <w:t>]</w:t>
            </w:r>
          </w:p>
        </w:tc>
      </w:tr>
    </w:tbl>
    <w:p w14:paraId="4F0D5C9A" w14:textId="77777777" w:rsidR="0084067F" w:rsidRDefault="0084067F" w:rsidP="00E06DFE">
      <w:pPr>
        <w:pStyle w:val="Blocksatz"/>
        <w:rPr>
          <w:sz w:val="22"/>
          <w:szCs w:val="22"/>
        </w:rPr>
      </w:pPr>
    </w:p>
    <w:p w14:paraId="056CE0D6" w14:textId="2051057E" w:rsidR="00812202" w:rsidRPr="00EE2CB4" w:rsidRDefault="00EE2CB4" w:rsidP="00CC6B45">
      <w:pPr>
        <w:pStyle w:val="Blocksatz"/>
        <w:rPr>
          <w:lang w:val="it-IT"/>
        </w:rPr>
      </w:pPr>
      <w:r w:rsidRPr="00EE2CB4">
        <w:rPr>
          <w:lang w:val="it-IT"/>
        </w:rPr>
        <w:t xml:space="preserve">Il </w:t>
      </w:r>
      <w:r w:rsidR="00AB2A66">
        <w:rPr>
          <w:lang w:val="it-IT"/>
        </w:rPr>
        <w:t xml:space="preserve">compenso forfettario comprende </w:t>
      </w:r>
      <w:r w:rsidRPr="00EE2CB4">
        <w:rPr>
          <w:lang w:val="it-IT"/>
        </w:rPr>
        <w:t>quanto segue</w:t>
      </w:r>
      <w:r w:rsidR="00812202" w:rsidRPr="00EE2CB4">
        <w:rPr>
          <w:lang w:val="it-IT"/>
        </w:rPr>
        <w:t>:</w:t>
      </w:r>
    </w:p>
    <w:p w14:paraId="4CB86E2D" w14:textId="56E03DCD" w:rsidR="004E4051" w:rsidRPr="00EE2CB4" w:rsidRDefault="00EE2CB4" w:rsidP="004E4051">
      <w:pPr>
        <w:pStyle w:val="Blocksatz"/>
        <w:numPr>
          <w:ilvl w:val="0"/>
          <w:numId w:val="26"/>
        </w:numPr>
        <w:rPr>
          <w:lang w:val="it-IT"/>
        </w:rPr>
      </w:pPr>
      <w:r w:rsidRPr="00EE2CB4">
        <w:rPr>
          <w:lang w:val="it-IT"/>
        </w:rPr>
        <w:t>Preparazione, partecipazione e follow-up delle riunioni del Consiglio di fondazione</w:t>
      </w:r>
    </w:p>
    <w:p w14:paraId="6794EA42" w14:textId="6B4B8EF6" w:rsidR="00B8421C" w:rsidRPr="00CC6B45" w:rsidRDefault="007F10EB" w:rsidP="004E4051">
      <w:pPr>
        <w:pStyle w:val="Blocksatz"/>
        <w:numPr>
          <w:ilvl w:val="0"/>
          <w:numId w:val="26"/>
        </w:numPr>
      </w:pPr>
      <w:r w:rsidRPr="00CC6B45">
        <w:t>[</w:t>
      </w:r>
      <w:r w:rsidRPr="004E4051">
        <w:rPr>
          <w:highlight w:val="lightGray"/>
        </w:rPr>
        <w:t>…</w:t>
      </w:r>
      <w:r w:rsidRPr="00CC6B45">
        <w:t>]</w:t>
      </w:r>
    </w:p>
    <w:p w14:paraId="01DECF8B" w14:textId="1581E2CE" w:rsidR="007F10EB" w:rsidRPr="00343F4F" w:rsidRDefault="00343F4F" w:rsidP="00CC6B45">
      <w:pPr>
        <w:pStyle w:val="Blocksatz"/>
        <w:rPr>
          <w:lang w:val="it-IT"/>
        </w:rPr>
      </w:pPr>
      <w:r w:rsidRPr="00343F4F">
        <w:rPr>
          <w:lang w:val="it-IT"/>
        </w:rPr>
        <w:t>Restano invariati i compensi di cui al</w:t>
      </w:r>
      <w:r w:rsidR="00AB2A66">
        <w:rPr>
          <w:lang w:val="it-IT"/>
        </w:rPr>
        <w:t>la</w:t>
      </w:r>
      <w:r w:rsidRPr="00343F4F">
        <w:rPr>
          <w:lang w:val="it-IT"/>
        </w:rPr>
        <w:t xml:space="preserve"> </w:t>
      </w:r>
      <w:r w:rsidR="00E90BF0">
        <w:rPr>
          <w:lang w:val="it-IT"/>
        </w:rPr>
        <w:t>cifra</w:t>
      </w:r>
      <w:r w:rsidRPr="00343F4F">
        <w:rPr>
          <w:lang w:val="it-IT"/>
        </w:rPr>
        <w:t xml:space="preserve"> 4.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7F10EB" w:rsidRPr="004F71CD" w14:paraId="70512B9D" w14:textId="77777777" w:rsidTr="005C5783">
        <w:tc>
          <w:tcPr>
            <w:tcW w:w="9072" w:type="dxa"/>
          </w:tcPr>
          <w:p w14:paraId="3EE829E0" w14:textId="77777777" w:rsidR="00343F4F" w:rsidRPr="00343F4F" w:rsidRDefault="00343F4F" w:rsidP="00343F4F">
            <w:pPr>
              <w:pStyle w:val="Blocksatz"/>
              <w:rPr>
                <w:i/>
                <w:iCs/>
                <w:sz w:val="20"/>
                <w:szCs w:val="20"/>
                <w:lang w:val="it-IT"/>
              </w:rPr>
            </w:pPr>
            <w:r w:rsidRPr="00343F4F">
              <w:rPr>
                <w:i/>
                <w:iCs/>
                <w:sz w:val="20"/>
                <w:szCs w:val="20"/>
                <w:lang w:val="it-IT"/>
              </w:rPr>
              <w:t xml:space="preserve">Nota: qui vanno inseriti gli importi relativi a ciascuna funzione. </w:t>
            </w:r>
          </w:p>
          <w:p w14:paraId="5841D33A" w14:textId="5A6F7C90" w:rsidR="007F10EB" w:rsidRPr="00343F4F" w:rsidRDefault="00343F4F" w:rsidP="00343F4F">
            <w:pPr>
              <w:pStyle w:val="Blocksatz"/>
              <w:rPr>
                <w:i/>
                <w:iCs/>
                <w:sz w:val="20"/>
                <w:szCs w:val="20"/>
                <w:lang w:val="it-IT"/>
              </w:rPr>
            </w:pPr>
            <w:r w:rsidRPr="00343F4F">
              <w:rPr>
                <w:i/>
                <w:iCs/>
                <w:sz w:val="20"/>
                <w:szCs w:val="20"/>
                <w:lang w:val="it-IT"/>
              </w:rPr>
              <w:t xml:space="preserve">Occorre inoltre specificare quali spese sono coperte dal forfait. Ciò comprende, ad esempio, indicazioni relative alla durata e al numero di sedute incluse nel forfait. Tali spese devono essere distinte dal compenso per funzioni e compiti speciali di cui al </w:t>
            </w:r>
            <w:r w:rsidR="00E90BF0">
              <w:rPr>
                <w:i/>
                <w:iCs/>
                <w:sz w:val="20"/>
                <w:szCs w:val="20"/>
                <w:lang w:val="it-IT"/>
              </w:rPr>
              <w:t>cifra</w:t>
            </w:r>
            <w:r w:rsidRPr="00343F4F">
              <w:rPr>
                <w:i/>
                <w:iCs/>
                <w:sz w:val="20"/>
                <w:szCs w:val="20"/>
                <w:lang w:val="it-IT"/>
              </w:rPr>
              <w:t xml:space="preserve"> 4, nonché da eventuali spese forfettarie di cui al</w:t>
            </w:r>
            <w:r w:rsidR="00AB2A66">
              <w:rPr>
                <w:i/>
                <w:iCs/>
                <w:sz w:val="20"/>
                <w:szCs w:val="20"/>
                <w:lang w:val="it-IT"/>
              </w:rPr>
              <w:t>la</w:t>
            </w:r>
            <w:r w:rsidRPr="00343F4F">
              <w:rPr>
                <w:i/>
                <w:iCs/>
                <w:sz w:val="20"/>
                <w:szCs w:val="20"/>
                <w:lang w:val="it-IT"/>
              </w:rPr>
              <w:t xml:space="preserve"> </w:t>
            </w:r>
            <w:r w:rsidR="00E90BF0">
              <w:rPr>
                <w:i/>
                <w:iCs/>
                <w:sz w:val="20"/>
                <w:szCs w:val="20"/>
                <w:lang w:val="it-IT"/>
              </w:rPr>
              <w:t>cifra</w:t>
            </w:r>
            <w:r w:rsidRPr="00343F4F">
              <w:rPr>
                <w:i/>
                <w:iCs/>
                <w:sz w:val="20"/>
                <w:szCs w:val="20"/>
                <w:lang w:val="it-IT"/>
              </w:rPr>
              <w:t xml:space="preserve"> 6.</w:t>
            </w:r>
          </w:p>
        </w:tc>
      </w:tr>
    </w:tbl>
    <w:p w14:paraId="7503142D" w14:textId="77777777" w:rsidR="007F10EB" w:rsidRPr="00343F4F" w:rsidRDefault="007F10EB" w:rsidP="00CC6B45">
      <w:pPr>
        <w:pStyle w:val="Blocksatz"/>
        <w:rPr>
          <w:b/>
          <w:bCs/>
          <w:lang w:val="it-IT"/>
        </w:rPr>
      </w:pPr>
      <w:bookmarkStart w:id="0" w:name="_Toc146395407"/>
    </w:p>
    <w:bookmarkEnd w:id="0"/>
    <w:p w14:paraId="151DE555" w14:textId="3C5851FB" w:rsidR="00BC1122" w:rsidRPr="00343F4F" w:rsidRDefault="00343F4F" w:rsidP="008102C4">
      <w:pPr>
        <w:pStyle w:val="Blocksatz"/>
        <w:numPr>
          <w:ilvl w:val="0"/>
          <w:numId w:val="27"/>
        </w:numPr>
        <w:rPr>
          <w:b/>
          <w:bCs/>
          <w:lang w:val="it-IT"/>
        </w:rPr>
      </w:pPr>
      <w:r w:rsidRPr="00343F4F">
        <w:rPr>
          <w:b/>
          <w:bCs/>
          <w:lang w:val="it-IT"/>
        </w:rPr>
        <w:t>Indennità per funzioni e mansioni particolari</w:t>
      </w:r>
    </w:p>
    <w:p w14:paraId="53246AD2" w14:textId="020A92A8" w:rsidR="00343F4F" w:rsidRDefault="00343F4F" w:rsidP="00CC6B45">
      <w:pPr>
        <w:pStyle w:val="Blocksatz"/>
        <w:rPr>
          <w:lang w:val="it-IT"/>
        </w:rPr>
      </w:pPr>
      <w:r w:rsidRPr="00343F4F">
        <w:rPr>
          <w:lang w:val="it-IT"/>
        </w:rPr>
        <w:t>I membri del Consiglio di fondazione ai quali il Consiglio di fondazione nel suo insieme affida funzioni e compiti specifici che vanno oltre le prestazioni coperte dal compenso forfettario</w:t>
      </w:r>
      <w:r w:rsidR="00AB2A66">
        <w:rPr>
          <w:lang w:val="it-IT"/>
        </w:rPr>
        <w:t>,</w:t>
      </w:r>
      <w:r w:rsidRPr="00343F4F">
        <w:rPr>
          <w:lang w:val="it-IT"/>
        </w:rPr>
        <w:t xml:space="preserve"> ricevono un compenso in base al tempo impiegato. Il compenso ammonta a [</w:t>
      </w:r>
      <w:r w:rsidRPr="00343F4F">
        <w:rPr>
          <w:highlight w:val="lightGray"/>
          <w:lang w:val="it-IT"/>
        </w:rPr>
        <w:t>…</w:t>
      </w:r>
      <w:r w:rsidRPr="00343F4F">
        <w:rPr>
          <w:lang w:val="it-IT"/>
        </w:rPr>
        <w:t>] all’ora o a un massimo di [</w:t>
      </w:r>
      <w:r w:rsidRPr="00343F4F">
        <w:rPr>
          <w:highlight w:val="lightGray"/>
          <w:lang w:val="it-IT"/>
        </w:rPr>
        <w:t>…</w:t>
      </w:r>
      <w:r w:rsidRPr="00343F4F">
        <w:rPr>
          <w:lang w:val="it-IT"/>
        </w:rPr>
        <w:t>] al giorno</w:t>
      </w:r>
    </w:p>
    <w:p w14:paraId="4105BFC5" w14:textId="4232116D" w:rsidR="00BC1122" w:rsidRPr="00AD6FB8" w:rsidRDefault="00AD6FB8" w:rsidP="00CC6B45">
      <w:pPr>
        <w:pStyle w:val="Blocksatz"/>
        <w:rPr>
          <w:lang w:val="it-IT"/>
        </w:rPr>
      </w:pPr>
      <w:r w:rsidRPr="00AD6FB8">
        <w:rPr>
          <w:lang w:val="it-IT"/>
        </w:rPr>
        <w:t>Tale compenso si applica in particolare ai seguenti compiti speciali</w:t>
      </w:r>
      <w:r w:rsidR="007F10EB" w:rsidRPr="00AD6FB8">
        <w:rPr>
          <w:lang w:val="it-IT"/>
        </w:rPr>
        <w:t>:</w:t>
      </w:r>
    </w:p>
    <w:p w14:paraId="493ED805" w14:textId="77777777" w:rsidR="00BC1122" w:rsidRPr="003B7307" w:rsidRDefault="007F10EB" w:rsidP="00CC6B45">
      <w:pPr>
        <w:pStyle w:val="Blocksatz"/>
        <w:rPr>
          <w:lang w:val="it-IT"/>
        </w:rPr>
      </w:pPr>
      <w:r w:rsidRPr="003B7307">
        <w:rPr>
          <w:lang w:val="it-IT"/>
        </w:rPr>
        <w:t>[</w:t>
      </w:r>
      <w:r w:rsidRPr="003B7307">
        <w:rPr>
          <w:highlight w:val="lightGray"/>
          <w:lang w:val="it-IT"/>
        </w:rPr>
        <w:t>…</w:t>
      </w:r>
      <w:r w:rsidRPr="003B7307">
        <w:rPr>
          <w:lang w:val="it-IT"/>
        </w:rPr>
        <w:t>]</w:t>
      </w:r>
    </w:p>
    <w:p w14:paraId="641FE9B5" w14:textId="0DC5E651" w:rsidR="007F10EB" w:rsidRPr="00AD6FB8" w:rsidRDefault="00AD6FB8" w:rsidP="00CC6B45">
      <w:pPr>
        <w:pStyle w:val="Blocksatz"/>
        <w:rPr>
          <w:lang w:val="it-IT"/>
        </w:rPr>
      </w:pPr>
      <w:r w:rsidRPr="00AD6FB8">
        <w:rPr>
          <w:lang w:val="it-IT"/>
        </w:rPr>
        <w:t>I membri del Consiglio di fondazione presentano rendiconti dettagliati delle spese sostenute a tale titolo. I rendiconti vengono esaminati e approvati dal Consiglio di fondazione al completo</w:t>
      </w:r>
      <w:r w:rsidR="007F10EB" w:rsidRPr="00AD6FB8">
        <w:rPr>
          <w:lang w:val="it-IT"/>
        </w:rPr>
        <w:t>.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7F10EB" w:rsidRPr="004F71CD" w14:paraId="165BF54F" w14:textId="77777777" w:rsidTr="00E06DFE">
        <w:tc>
          <w:tcPr>
            <w:tcW w:w="9072" w:type="dxa"/>
          </w:tcPr>
          <w:p w14:paraId="3133917F" w14:textId="77777777" w:rsidR="00AD6FB8" w:rsidRPr="00AD6FB8" w:rsidRDefault="00AD6FB8" w:rsidP="00AD6FB8">
            <w:pPr>
              <w:pStyle w:val="Blocksatz"/>
              <w:rPr>
                <w:i/>
                <w:iCs/>
                <w:sz w:val="20"/>
                <w:szCs w:val="20"/>
                <w:lang w:val="it-IT"/>
              </w:rPr>
            </w:pPr>
            <w:r w:rsidRPr="00AD6FB8">
              <w:rPr>
                <w:i/>
                <w:iCs/>
                <w:sz w:val="20"/>
                <w:szCs w:val="20"/>
                <w:lang w:val="it-IT"/>
              </w:rPr>
              <w:t>Nota: in questa sezione occorre indicare la retribuzione oraria o giornaliera e specificare in dettaglio gli incarichi straordinari. È fondamentale precisare che si tratta di incarichi straordinari che esulano dall'ordinaria attività della fondazione.</w:t>
            </w:r>
          </w:p>
          <w:p w14:paraId="22618FE1" w14:textId="77777777" w:rsidR="00AD6FB8" w:rsidRPr="00AD6FB8" w:rsidRDefault="00AD6FB8" w:rsidP="00AD6FB8">
            <w:pPr>
              <w:pStyle w:val="Blocksatz"/>
              <w:rPr>
                <w:i/>
                <w:iCs/>
                <w:sz w:val="20"/>
                <w:szCs w:val="20"/>
                <w:lang w:val="it-IT"/>
              </w:rPr>
            </w:pPr>
            <w:r w:rsidRPr="00AD6FB8">
              <w:rPr>
                <w:i/>
                <w:iCs/>
                <w:sz w:val="20"/>
                <w:szCs w:val="20"/>
                <w:lang w:val="it-IT"/>
              </w:rPr>
              <w:t>Sono considerati tali, ad esempio, l'esame di un numero particolarmente elevato di richieste, la supervisione di una ristrutturazione, l'acquisto o la vendita di un immobile, la digitalizzazione, compresa l'archiviazione di documenti cartacei, l'inventario dei beni materiali (come ad esempio quadri o oggetti d'arte), l'esame di un lascito di entità rilevante o di una donazione vincolata di entità rilevante a favore della fondazione, eventi straordinari nell'ambito dell'attività della fondazione (come ad es. incidenti di rilevanza mediatica o interruzioni dell'attività, importanti cambiamenti di personale, contenziosi), ristrutturazione/riorientamento della fondazione, trasferimenti patrimoniali, fusioni, costituzione di una società controllata, acquisizione di un'impresa, cooperazioni.</w:t>
            </w:r>
          </w:p>
          <w:p w14:paraId="13D95CF1" w14:textId="77777777" w:rsidR="00AD6FB8" w:rsidRPr="00AD6FB8" w:rsidRDefault="00AD6FB8" w:rsidP="00AD6FB8">
            <w:pPr>
              <w:pStyle w:val="Blocksatz"/>
              <w:rPr>
                <w:i/>
                <w:iCs/>
                <w:sz w:val="20"/>
                <w:szCs w:val="20"/>
                <w:lang w:val="it-IT"/>
              </w:rPr>
            </w:pPr>
            <w:r w:rsidRPr="00AD6FB8">
              <w:rPr>
                <w:i/>
                <w:iCs/>
                <w:sz w:val="20"/>
                <w:szCs w:val="20"/>
                <w:lang w:val="it-IT"/>
              </w:rPr>
              <w:t>Da questo elenco possono essere assunti quei compiti speciali che sono opportuni per ciascuna fondazione, si verificano regolarmente o a lungo termine e devono quindi essere stabiliti in un regolamento.</w:t>
            </w:r>
          </w:p>
          <w:p w14:paraId="6165B84B" w14:textId="716A18EA" w:rsidR="007F10EB" w:rsidRPr="00AD6FB8" w:rsidRDefault="00AD6FB8" w:rsidP="00AD6FB8">
            <w:pPr>
              <w:pStyle w:val="Blocksatz"/>
              <w:rPr>
                <w:i/>
                <w:iCs/>
                <w:sz w:val="20"/>
                <w:szCs w:val="20"/>
                <w:lang w:val="it-IT"/>
              </w:rPr>
            </w:pPr>
            <w:r w:rsidRPr="00AD6FB8">
              <w:rPr>
                <w:i/>
                <w:iCs/>
                <w:sz w:val="20"/>
                <w:szCs w:val="20"/>
                <w:lang w:val="it-IT"/>
              </w:rPr>
              <w:t>Nota: al momento dell’assegnazione dell’incarico, il membro del Consiglio di fondazione interessato deve ricusarsi per tempo</w:t>
            </w:r>
            <w:r w:rsidR="007F10EB" w:rsidRPr="00AD6FB8">
              <w:rPr>
                <w:i/>
                <w:iCs/>
                <w:sz w:val="20"/>
                <w:szCs w:val="20"/>
                <w:lang w:val="it-IT"/>
              </w:rPr>
              <w:t>.</w:t>
            </w:r>
          </w:p>
        </w:tc>
      </w:tr>
    </w:tbl>
    <w:p w14:paraId="60DE85EE" w14:textId="71059037" w:rsidR="007F10EB" w:rsidRPr="00AD6FB8" w:rsidRDefault="007F10EB" w:rsidP="00E06DFE">
      <w:pPr>
        <w:pStyle w:val="Blocksatz"/>
        <w:rPr>
          <w:sz w:val="22"/>
          <w:szCs w:val="22"/>
          <w:lang w:val="it-IT"/>
        </w:rPr>
      </w:pPr>
    </w:p>
    <w:p w14:paraId="0E21A745" w14:textId="77A3C588" w:rsidR="00BC1122" w:rsidRPr="00731D7B" w:rsidRDefault="00731D7B" w:rsidP="008102C4">
      <w:pPr>
        <w:pStyle w:val="Blocksatz"/>
        <w:numPr>
          <w:ilvl w:val="0"/>
          <w:numId w:val="27"/>
        </w:numPr>
        <w:rPr>
          <w:b/>
          <w:bCs/>
          <w:lang w:val="it-IT"/>
        </w:rPr>
      </w:pPr>
      <w:r w:rsidRPr="00731D7B">
        <w:rPr>
          <w:b/>
          <w:bCs/>
          <w:lang w:val="it-IT"/>
        </w:rPr>
        <w:lastRenderedPageBreak/>
        <w:t xml:space="preserve">  Remunerazione per servizi forniti in sostituzione di esperti esterni</w:t>
      </w:r>
    </w:p>
    <w:p w14:paraId="52085D16" w14:textId="0EB0A8E1" w:rsidR="00BC1122" w:rsidRPr="00731D7B" w:rsidRDefault="00731D7B" w:rsidP="004E4051">
      <w:pPr>
        <w:pStyle w:val="Blocksatz"/>
        <w:rPr>
          <w:lang w:val="it-IT"/>
        </w:rPr>
      </w:pPr>
      <w:r w:rsidRPr="00731D7B">
        <w:rPr>
          <w:lang w:val="it-IT"/>
        </w:rPr>
        <w:t xml:space="preserve">Qualora ai membri del Consiglio di fondazione venga affidato l'incarico di fornire servizi diversi da quelli di cui ai punti 3 e 4, che la </w:t>
      </w:r>
      <w:r w:rsidR="0047435B">
        <w:rPr>
          <w:lang w:val="it-IT"/>
        </w:rPr>
        <w:t>f</w:t>
      </w:r>
      <w:r w:rsidRPr="00731D7B">
        <w:rPr>
          <w:lang w:val="it-IT"/>
        </w:rPr>
        <w:t>ondazione dovrebbe altrimenti appaltare a terzi (ad es. consulenza legale, gestione patrimoniale che va oltre la semplice vigilanza, ecc.), l'incarico e il compenso saranno regolati come segue</w:t>
      </w:r>
      <w:r w:rsidR="007F10EB" w:rsidRPr="00731D7B">
        <w:rPr>
          <w:lang w:val="it-IT"/>
        </w:rPr>
        <w:t>:</w:t>
      </w:r>
    </w:p>
    <w:p w14:paraId="365AEDC4" w14:textId="1BE7867C" w:rsidR="00BC1122" w:rsidRPr="00731D7B" w:rsidRDefault="00731D7B" w:rsidP="004E4051">
      <w:pPr>
        <w:pStyle w:val="Blocksatz"/>
        <w:numPr>
          <w:ilvl w:val="0"/>
          <w:numId w:val="25"/>
        </w:numPr>
        <w:rPr>
          <w:lang w:val="it-IT"/>
        </w:rPr>
      </w:pPr>
      <w:r w:rsidRPr="00731D7B">
        <w:rPr>
          <w:lang w:val="it-IT"/>
        </w:rPr>
        <w:t>L</w:t>
      </w:r>
      <w:r w:rsidR="008102C4">
        <w:rPr>
          <w:lang w:val="it-IT"/>
        </w:rPr>
        <w:t xml:space="preserve">’incarico ai </w:t>
      </w:r>
      <w:r w:rsidRPr="00731D7B">
        <w:rPr>
          <w:lang w:val="it-IT"/>
        </w:rPr>
        <w:t>membri del Consiglio di fondazione è di competenza del Consiglio di fondazione stesso. Il potere decisionale spetta in linea di principio all'intero Consiglio di fondazione, a meno che quest'ultimo non lo abbia delegato a una commissione</w:t>
      </w:r>
      <w:r w:rsidR="007F10EB" w:rsidRPr="00731D7B">
        <w:rPr>
          <w:lang w:val="it-IT"/>
        </w:rPr>
        <w:t>.</w:t>
      </w:r>
    </w:p>
    <w:p w14:paraId="358C75F2" w14:textId="693F0391" w:rsidR="004E4051" w:rsidRPr="00E90BF0" w:rsidRDefault="00E90BF0" w:rsidP="004E4051">
      <w:pPr>
        <w:pStyle w:val="Blocksatz"/>
        <w:numPr>
          <w:ilvl w:val="0"/>
          <w:numId w:val="24"/>
        </w:numPr>
        <w:rPr>
          <w:lang w:val="it-IT"/>
        </w:rPr>
      </w:pPr>
      <w:r w:rsidRPr="00E90BF0">
        <w:rPr>
          <w:lang w:val="it-IT"/>
        </w:rPr>
        <w:t>Nel mandato occorre definire i compiti da svolgere e distinguerli da quelli che spettano in qualità di membro del Consiglio di fondazione</w:t>
      </w:r>
      <w:r w:rsidR="007F10EB" w:rsidRPr="00E90BF0">
        <w:rPr>
          <w:lang w:val="it-IT"/>
        </w:rPr>
        <w:t>.</w:t>
      </w:r>
    </w:p>
    <w:p w14:paraId="2191DA9E" w14:textId="3BA57812" w:rsidR="004E4051" w:rsidRPr="00135328" w:rsidRDefault="00135328" w:rsidP="004E4051">
      <w:pPr>
        <w:pStyle w:val="Blocksatz"/>
        <w:numPr>
          <w:ilvl w:val="0"/>
          <w:numId w:val="24"/>
        </w:numPr>
        <w:rPr>
          <w:lang w:val="it-IT"/>
        </w:rPr>
      </w:pPr>
      <w:r w:rsidRPr="00135328">
        <w:rPr>
          <w:lang w:val="it-IT"/>
        </w:rPr>
        <w:t>L'incarico si basa su una delibera del Consiglio di fondazione o di una sua commissione, che disciplina i seguenti aspetti</w:t>
      </w:r>
      <w:r w:rsidR="007F10EB" w:rsidRPr="00135328">
        <w:rPr>
          <w:lang w:val="it-IT"/>
        </w:rPr>
        <w:t>:</w:t>
      </w:r>
    </w:p>
    <w:p w14:paraId="3290947B" w14:textId="2D746A8D" w:rsidR="004E4051" w:rsidRPr="00135328" w:rsidRDefault="00135328" w:rsidP="004E4051">
      <w:pPr>
        <w:pStyle w:val="Blocksatz"/>
        <w:numPr>
          <w:ilvl w:val="1"/>
          <w:numId w:val="24"/>
        </w:numPr>
        <w:rPr>
          <w:lang w:val="it-IT"/>
        </w:rPr>
      </w:pPr>
      <w:r w:rsidRPr="00135328">
        <w:rPr>
          <w:lang w:val="it-IT"/>
        </w:rPr>
        <w:t>Natura e portata del compito specifico</w:t>
      </w:r>
      <w:r w:rsidR="007F10EB" w:rsidRPr="00135328">
        <w:rPr>
          <w:lang w:val="it-IT"/>
        </w:rPr>
        <w:t>;</w:t>
      </w:r>
    </w:p>
    <w:p w14:paraId="32D70663" w14:textId="502C83AE" w:rsidR="00BC1122" w:rsidRPr="00135328" w:rsidRDefault="00135328" w:rsidP="004E4051">
      <w:pPr>
        <w:pStyle w:val="Blocksatz"/>
        <w:numPr>
          <w:ilvl w:val="1"/>
          <w:numId w:val="24"/>
        </w:numPr>
        <w:rPr>
          <w:lang w:val="it-IT"/>
        </w:rPr>
      </w:pPr>
      <w:r w:rsidRPr="00135328">
        <w:rPr>
          <w:lang w:val="it-IT"/>
        </w:rPr>
        <w:t>La retribuzione corrisposta per l'incarico speciale</w:t>
      </w:r>
      <w:r w:rsidR="007F10EB" w:rsidRPr="00135328">
        <w:rPr>
          <w:lang w:val="it-IT"/>
        </w:rPr>
        <w:t>.</w:t>
      </w:r>
    </w:p>
    <w:p w14:paraId="02981BA1" w14:textId="08C3759E" w:rsidR="00135328" w:rsidRPr="00135328" w:rsidRDefault="008102C4" w:rsidP="00135328">
      <w:pPr>
        <w:pStyle w:val="Blocksatz"/>
        <w:rPr>
          <w:lang w:val="it-IT"/>
        </w:rPr>
      </w:pPr>
      <w:r w:rsidRPr="008102C4">
        <w:rPr>
          <w:lang w:val="it-IT"/>
        </w:rPr>
        <w:t xml:space="preserve">Le remunerazioni devono essere stabilite dal </w:t>
      </w:r>
      <w:r>
        <w:rPr>
          <w:lang w:val="it-IT"/>
        </w:rPr>
        <w:t>C</w:t>
      </w:r>
      <w:r w:rsidRPr="008102C4">
        <w:rPr>
          <w:lang w:val="it-IT"/>
        </w:rPr>
        <w:t>onsiglio di fondazione fino a un massimo corrispondente alle condizioni di mercato per prestazioni analoghe.</w:t>
      </w:r>
    </w:p>
    <w:p w14:paraId="3EDE9D49" w14:textId="2068A643" w:rsidR="00BC1122" w:rsidRPr="00135328" w:rsidRDefault="00135328" w:rsidP="00135328">
      <w:pPr>
        <w:pStyle w:val="Blocksatz"/>
        <w:rPr>
          <w:lang w:val="it-IT"/>
        </w:rPr>
      </w:pPr>
      <w:r w:rsidRPr="00135328">
        <w:rPr>
          <w:lang w:val="it-IT"/>
        </w:rPr>
        <w:t>I membri del Consiglio di fondazione presentano rendiconti dettagliati delle proprie spese. I rendiconti vengono verificati e approvati da uno o più membri del Consiglio di fondazione in base alle rispettive facoltà di firma.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7F10EB" w:rsidRPr="004F71CD" w14:paraId="3FE94820" w14:textId="77777777" w:rsidTr="006C694A">
        <w:tc>
          <w:tcPr>
            <w:tcW w:w="9072" w:type="dxa"/>
          </w:tcPr>
          <w:p w14:paraId="4CDC7109" w14:textId="5920CD2A" w:rsidR="007F10EB" w:rsidRPr="00135328" w:rsidRDefault="00135328" w:rsidP="004E4051">
            <w:pPr>
              <w:pStyle w:val="Blocksatz"/>
              <w:rPr>
                <w:i/>
                <w:iCs/>
                <w:sz w:val="20"/>
                <w:szCs w:val="20"/>
                <w:lang w:val="it-IT"/>
              </w:rPr>
            </w:pPr>
            <w:r w:rsidRPr="00135328">
              <w:rPr>
                <w:i/>
                <w:iCs/>
                <w:sz w:val="20"/>
                <w:szCs w:val="20"/>
                <w:lang w:val="it-IT"/>
              </w:rPr>
              <w:t xml:space="preserve">Nota: questo punto va riportato laddove sia opportuno per la singola fondazione. Per l'autorità di vigilanza, quando si tratta della remunerazione dei membri del </w:t>
            </w:r>
            <w:r w:rsidR="008102C4">
              <w:rPr>
                <w:i/>
                <w:iCs/>
                <w:sz w:val="20"/>
                <w:szCs w:val="20"/>
                <w:lang w:val="it-IT"/>
              </w:rPr>
              <w:t>C</w:t>
            </w:r>
            <w:r w:rsidRPr="00135328">
              <w:rPr>
                <w:i/>
                <w:iCs/>
                <w:sz w:val="20"/>
                <w:szCs w:val="20"/>
                <w:lang w:val="it-IT"/>
              </w:rPr>
              <w:t>onsiglio di fondazione anziché di esperti esterni, la trasparenza riveste un'importanza fondamentale, sia a livello interno che nei confronti dell'autorità di vigilanza, così come un sistema di governance efficace (controllo reciproco).</w:t>
            </w:r>
          </w:p>
        </w:tc>
      </w:tr>
    </w:tbl>
    <w:p w14:paraId="2FB38AFB" w14:textId="77777777" w:rsidR="004E4051" w:rsidRPr="00135328" w:rsidRDefault="004E4051" w:rsidP="004E4051">
      <w:pPr>
        <w:pStyle w:val="Blocksatz"/>
        <w:rPr>
          <w:b/>
          <w:bCs/>
          <w:sz w:val="22"/>
          <w:szCs w:val="22"/>
          <w:lang w:val="it-IT"/>
        </w:rPr>
      </w:pPr>
      <w:bookmarkStart w:id="1" w:name="_Toc146395408"/>
    </w:p>
    <w:p w14:paraId="63F68265" w14:textId="60FE6BFD" w:rsidR="006C694A" w:rsidRPr="004E4051" w:rsidRDefault="006C694A" w:rsidP="008102C4">
      <w:pPr>
        <w:pStyle w:val="Blocksatz"/>
        <w:numPr>
          <w:ilvl w:val="0"/>
          <w:numId w:val="27"/>
        </w:numPr>
        <w:rPr>
          <w:b/>
          <w:bCs/>
        </w:rPr>
      </w:pPr>
      <w:proofErr w:type="spellStart"/>
      <w:r w:rsidRPr="004E4051">
        <w:rPr>
          <w:b/>
          <w:bCs/>
        </w:rPr>
        <w:t>Spese</w:t>
      </w:r>
      <w:proofErr w:type="spellEnd"/>
    </w:p>
    <w:p w14:paraId="57CAE1D8" w14:textId="0B4DD322" w:rsidR="007F10EB" w:rsidRPr="003B7307" w:rsidRDefault="008102C4" w:rsidP="004E4051">
      <w:pPr>
        <w:pStyle w:val="Blocksatz"/>
        <w:rPr>
          <w:lang w:val="it-IT"/>
        </w:rPr>
      </w:pPr>
      <w:r w:rsidRPr="008102C4">
        <w:rPr>
          <w:lang w:val="it-IT"/>
        </w:rPr>
        <w:t xml:space="preserve">Le spese e gli esborsi adeguati e comprovati sostenuti nell’ambito della funzione di membro del </w:t>
      </w:r>
      <w:r>
        <w:rPr>
          <w:lang w:val="it-IT"/>
        </w:rPr>
        <w:t>C</w:t>
      </w:r>
      <w:r w:rsidRPr="008102C4">
        <w:rPr>
          <w:lang w:val="it-IT"/>
        </w:rPr>
        <w:t>onsiglio di fondazione vengono rimborsati.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7F10EB" w:rsidRPr="004F71CD" w14:paraId="7DE95B81" w14:textId="77777777" w:rsidTr="00393C68">
        <w:tc>
          <w:tcPr>
            <w:tcW w:w="9072" w:type="dxa"/>
          </w:tcPr>
          <w:p w14:paraId="340A063B" w14:textId="66FEE885" w:rsidR="003B7307" w:rsidRPr="003B7307" w:rsidRDefault="003B7307" w:rsidP="003B7307">
            <w:pPr>
              <w:pStyle w:val="Blocksatz"/>
              <w:rPr>
                <w:i/>
                <w:iCs/>
                <w:sz w:val="20"/>
                <w:szCs w:val="20"/>
                <w:lang w:val="it-IT"/>
              </w:rPr>
            </w:pPr>
            <w:r w:rsidRPr="003B7307">
              <w:rPr>
                <w:i/>
                <w:iCs/>
                <w:sz w:val="20"/>
                <w:szCs w:val="20"/>
                <w:lang w:val="it-IT"/>
              </w:rPr>
              <w:t xml:space="preserve">Nota: in alternativa, il regolamento può prevedere anche un rimborso forfettario di importo adeguato. In tal caso, la disposizione dovrà recitare come segue: «Il Consiglio di fondazione riceve, a titolo forfettario, un rimborso spese annuale pari a [CHF </w:t>
            </w:r>
            <w:r w:rsidRPr="003B7307">
              <w:rPr>
                <w:i/>
                <w:iCs/>
                <w:sz w:val="20"/>
                <w:szCs w:val="20"/>
                <w:highlight w:val="lightGray"/>
                <w:lang w:val="it-IT"/>
              </w:rPr>
              <w:t>…</w:t>
            </w:r>
            <w:r w:rsidRPr="003B7307">
              <w:rPr>
                <w:i/>
                <w:iCs/>
                <w:sz w:val="20"/>
                <w:szCs w:val="20"/>
                <w:lang w:val="it-IT"/>
              </w:rPr>
              <w:t>]</w:t>
            </w:r>
            <w:r>
              <w:rPr>
                <w:i/>
                <w:iCs/>
                <w:sz w:val="20"/>
                <w:szCs w:val="20"/>
                <w:lang w:val="it-IT"/>
              </w:rPr>
              <w:t xml:space="preserve"> </w:t>
            </w:r>
            <w:r w:rsidRPr="003B7307">
              <w:rPr>
                <w:i/>
                <w:iCs/>
                <w:sz w:val="20"/>
                <w:szCs w:val="20"/>
                <w:lang w:val="it-IT"/>
              </w:rPr>
              <w:t>a copertura delle spese sostenute nell’ambito della sua funzione di membro del Consiglio di fondazione.»</w:t>
            </w:r>
          </w:p>
          <w:p w14:paraId="4526D5EA" w14:textId="09CB3A1E" w:rsidR="007F10EB" w:rsidRPr="003B7307" w:rsidRDefault="003B7307" w:rsidP="003B7307">
            <w:pPr>
              <w:pStyle w:val="Blocksatz"/>
              <w:rPr>
                <w:i/>
                <w:iCs/>
                <w:sz w:val="20"/>
                <w:szCs w:val="20"/>
                <w:lang w:val="it-IT"/>
              </w:rPr>
            </w:pPr>
            <w:r w:rsidRPr="003B7307">
              <w:rPr>
                <w:i/>
                <w:iCs/>
                <w:sz w:val="20"/>
                <w:szCs w:val="20"/>
                <w:lang w:val="it-IT"/>
              </w:rPr>
              <w:t>Nota: occorre chiarire con le autorità fiscali se le spese forfettarie siano fiscalmente accettabili anche per il beneficiario (certificato di salario, cifra 13).</w:t>
            </w:r>
          </w:p>
        </w:tc>
      </w:tr>
    </w:tbl>
    <w:p w14:paraId="7C685A79" w14:textId="77777777" w:rsidR="007F10EB" w:rsidRPr="003B7307" w:rsidRDefault="007F10EB" w:rsidP="00E06DFE">
      <w:pPr>
        <w:pStyle w:val="Blocksatz"/>
        <w:rPr>
          <w:sz w:val="22"/>
          <w:szCs w:val="22"/>
          <w:lang w:val="it-IT"/>
        </w:rPr>
      </w:pPr>
    </w:p>
    <w:bookmarkEnd w:id="1"/>
    <w:p w14:paraId="1880F773" w14:textId="25A3E12F" w:rsidR="007D52AB" w:rsidRPr="00C71E19" w:rsidRDefault="00135328" w:rsidP="008102C4">
      <w:pPr>
        <w:pStyle w:val="Blocksatz"/>
        <w:numPr>
          <w:ilvl w:val="0"/>
          <w:numId w:val="27"/>
        </w:numPr>
        <w:rPr>
          <w:b/>
          <w:bCs/>
        </w:rPr>
      </w:pPr>
      <w:proofErr w:type="spellStart"/>
      <w:r w:rsidRPr="00135328">
        <w:rPr>
          <w:b/>
          <w:bCs/>
        </w:rPr>
        <w:t>Obbligo</w:t>
      </w:r>
      <w:proofErr w:type="spellEnd"/>
      <w:r w:rsidRPr="00135328">
        <w:rPr>
          <w:b/>
          <w:bCs/>
        </w:rPr>
        <w:t xml:space="preserve"> di </w:t>
      </w:r>
      <w:proofErr w:type="spellStart"/>
      <w:r w:rsidRPr="00135328">
        <w:rPr>
          <w:b/>
          <w:bCs/>
        </w:rPr>
        <w:t>informativa</w:t>
      </w:r>
      <w:proofErr w:type="spellEnd"/>
    </w:p>
    <w:p w14:paraId="70289929" w14:textId="3812F1BD" w:rsidR="007F10EB" w:rsidRPr="00135328" w:rsidRDefault="0047080C" w:rsidP="00C71E19">
      <w:pPr>
        <w:pStyle w:val="Blocksatz"/>
        <w:rPr>
          <w:lang w:val="it-IT"/>
        </w:rPr>
      </w:pPr>
      <w:r w:rsidRPr="0047080C">
        <w:rPr>
          <w:lang w:val="it-IT"/>
        </w:rPr>
        <w:t xml:space="preserve">Le remunerazioni e i rimborsi spese versati al </w:t>
      </w:r>
      <w:r>
        <w:rPr>
          <w:lang w:val="it-IT"/>
        </w:rPr>
        <w:t>C</w:t>
      </w:r>
      <w:r w:rsidRPr="0047080C">
        <w:rPr>
          <w:lang w:val="it-IT"/>
        </w:rPr>
        <w:t>onsiglio di fondazione nel corso dell’esercizio devono essere resi noti in modo trasparente e comprensibile; inoltre, le remunerazioni corrisposte devono essere comunicate annualmente all’autorità di vigilanza sulle fondazioni</w:t>
      </w:r>
      <w:r w:rsidR="007F10EB" w:rsidRPr="00135328">
        <w:rPr>
          <w:lang w:val="it-IT"/>
        </w:rPr>
        <w:t>.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7F10EB" w:rsidRPr="004F71CD" w14:paraId="5EDC8808" w14:textId="77777777" w:rsidTr="007D52AB">
        <w:tc>
          <w:tcPr>
            <w:tcW w:w="9072" w:type="dxa"/>
          </w:tcPr>
          <w:p w14:paraId="0F11132B" w14:textId="09D6B88A" w:rsidR="00135328" w:rsidRPr="00135328" w:rsidRDefault="00135328" w:rsidP="00135328">
            <w:pPr>
              <w:pStyle w:val="Blocksatz"/>
              <w:rPr>
                <w:i/>
                <w:iCs/>
                <w:sz w:val="20"/>
                <w:szCs w:val="20"/>
                <w:lang w:val="it-IT"/>
              </w:rPr>
            </w:pPr>
            <w:r w:rsidRPr="00135328">
              <w:rPr>
                <w:i/>
                <w:iCs/>
                <w:sz w:val="20"/>
                <w:szCs w:val="20"/>
                <w:lang w:val="it-IT"/>
              </w:rPr>
              <w:t>Nota esplicativa: i compensi e le spese devono essere indicati in modo trasparente e comprensibile, conformemente alle istruzioni dell'autorità di vigilanza competente. Di norma, la comunicazione dei compensi corrisposti all'autorità di vigilanza avviene tramite la presentazione annuale del bilancio, comprensivo di allegato o tramite il modulo</w:t>
            </w:r>
            <w:r w:rsidR="004F71CD">
              <w:rPr>
                <w:i/>
                <w:iCs/>
                <w:sz w:val="20"/>
                <w:szCs w:val="20"/>
                <w:lang w:val="it-IT"/>
              </w:rPr>
              <w:t xml:space="preserve">. </w:t>
            </w:r>
            <w:r w:rsidRPr="00135328">
              <w:rPr>
                <w:i/>
                <w:iCs/>
                <w:sz w:val="20"/>
                <w:szCs w:val="20"/>
                <w:lang w:val="it-IT"/>
              </w:rPr>
              <w:t>Se la comunicazione avviene tramite la presentazione del conto annuale, nell’allegato devono essere indicati in modo trasparente e comprensibile i compensi e le spese versati. Nella relazione annuale occorre confermare esplicitamente il rispetto delle disposizioni del regolamento sui compensi e sulle spese e motivare i compensi in conformità a tale regolamento.</w:t>
            </w:r>
          </w:p>
          <w:p w14:paraId="7597E296" w14:textId="1D190907" w:rsidR="007F10EB" w:rsidRPr="00135328" w:rsidRDefault="00135328" w:rsidP="00135328">
            <w:pPr>
              <w:pStyle w:val="Blocksatz"/>
              <w:rPr>
                <w:i/>
                <w:iCs/>
                <w:sz w:val="20"/>
                <w:szCs w:val="20"/>
                <w:lang w:val="it-IT"/>
              </w:rPr>
            </w:pPr>
            <w:r w:rsidRPr="00135328">
              <w:rPr>
                <w:i/>
                <w:iCs/>
                <w:sz w:val="20"/>
                <w:szCs w:val="20"/>
                <w:lang w:val="it-IT"/>
              </w:rPr>
              <w:lastRenderedPageBreak/>
              <w:t>In casi singoli motivati, la divulgazione dei compensi versati annualmente all'autorità di vigilanza può avvenire in forma adeguata al di fuori dell'allegato.</w:t>
            </w:r>
          </w:p>
        </w:tc>
      </w:tr>
    </w:tbl>
    <w:p w14:paraId="4D5B7857" w14:textId="77777777" w:rsidR="007F10EB" w:rsidRPr="00135328" w:rsidRDefault="007F10EB" w:rsidP="00E06DFE">
      <w:pPr>
        <w:pStyle w:val="Blocksatz"/>
        <w:rPr>
          <w:sz w:val="22"/>
          <w:szCs w:val="22"/>
          <w:lang w:val="it-IT"/>
        </w:rPr>
      </w:pPr>
    </w:p>
    <w:p w14:paraId="33F8629B" w14:textId="2C0BCCFD" w:rsidR="001D14A9" w:rsidRPr="00135328" w:rsidRDefault="00135328" w:rsidP="008102C4">
      <w:pPr>
        <w:pStyle w:val="Blocksatz"/>
        <w:numPr>
          <w:ilvl w:val="0"/>
          <w:numId w:val="27"/>
        </w:numPr>
        <w:rPr>
          <w:b/>
          <w:bCs/>
          <w:lang w:val="it-IT"/>
        </w:rPr>
      </w:pPr>
      <w:r w:rsidRPr="00135328">
        <w:rPr>
          <w:b/>
          <w:bCs/>
          <w:lang w:val="it-IT"/>
        </w:rPr>
        <w:t>Modifiche, entrata in vigore e presentazione</w:t>
      </w:r>
    </w:p>
    <w:p w14:paraId="643DE8F0" w14:textId="5BB06BBC" w:rsidR="001D14A9" w:rsidRPr="00135328" w:rsidRDefault="00135328" w:rsidP="00244F8E">
      <w:pPr>
        <w:pStyle w:val="Blocksatz"/>
        <w:rPr>
          <w:lang w:val="it-IT"/>
        </w:rPr>
      </w:pPr>
      <w:r w:rsidRPr="00135328">
        <w:rPr>
          <w:lang w:val="it-IT"/>
        </w:rPr>
        <w:t>Le modifiche al presente regolamento sono deliberate dal Consiglio di fondazione</w:t>
      </w:r>
      <w:r w:rsidR="007F10EB" w:rsidRPr="00135328">
        <w:rPr>
          <w:lang w:val="it-IT"/>
        </w:rPr>
        <w:t>.</w:t>
      </w:r>
    </w:p>
    <w:p w14:paraId="605FD396" w14:textId="5454AB6D" w:rsidR="00135328" w:rsidRDefault="00135328" w:rsidP="00244F8E">
      <w:pPr>
        <w:pStyle w:val="Blocksatz"/>
        <w:rPr>
          <w:lang w:val="it-IT"/>
        </w:rPr>
      </w:pPr>
      <w:r w:rsidRPr="00135328">
        <w:rPr>
          <w:lang w:val="it-IT"/>
        </w:rPr>
        <w:t>Il presente regolamento è stato approvato dal Consiglio di fondazione nella seduta del [</w:t>
      </w:r>
      <w:r w:rsidRPr="00135328">
        <w:rPr>
          <w:highlight w:val="lightGray"/>
          <w:lang w:val="it-IT"/>
        </w:rPr>
        <w:t>…</w:t>
      </w:r>
      <w:r w:rsidRPr="00135328">
        <w:rPr>
          <w:lang w:val="it-IT"/>
        </w:rPr>
        <w:t>] ed entra in vigore il [</w:t>
      </w:r>
      <w:r w:rsidRPr="00135328">
        <w:rPr>
          <w:highlight w:val="lightGray"/>
          <w:lang w:val="it-IT"/>
        </w:rPr>
        <w:t>…</w:t>
      </w:r>
      <w:r w:rsidRPr="00135328">
        <w:rPr>
          <w:lang w:val="it-IT"/>
        </w:rPr>
        <w:t>].</w:t>
      </w:r>
    </w:p>
    <w:p w14:paraId="38E172A3" w14:textId="71750EB6" w:rsidR="000C3097" w:rsidRPr="004F71CD" w:rsidRDefault="00135328" w:rsidP="004F71CD">
      <w:pPr>
        <w:pStyle w:val="Blocksatz"/>
        <w:rPr>
          <w:lang w:val="it-IT"/>
        </w:rPr>
      </w:pPr>
      <w:r w:rsidRPr="00135328">
        <w:rPr>
          <w:lang w:val="it-IT"/>
        </w:rPr>
        <w:t>Il regolamento viene presentato all'autorità di vigilanza competente in materia di fondazioni.</w:t>
      </w:r>
    </w:p>
    <w:sectPr w:rsidR="000C3097" w:rsidRPr="004F71CD" w:rsidSect="00CC6B4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22ED0" w14:textId="77777777" w:rsidR="000C3097" w:rsidRDefault="000C3097" w:rsidP="000C3097">
      <w:pPr>
        <w:spacing w:line="240" w:lineRule="auto"/>
      </w:pPr>
      <w:r>
        <w:separator/>
      </w:r>
    </w:p>
  </w:endnote>
  <w:endnote w:type="continuationSeparator" w:id="0">
    <w:p w14:paraId="0384FAAE" w14:textId="77777777" w:rsidR="000C3097" w:rsidRDefault="000C3097" w:rsidP="000C30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C0482" w14:textId="2C8B3DB4" w:rsidR="000C3097" w:rsidRPr="0062304E" w:rsidRDefault="0062304E" w:rsidP="0062304E">
    <w:pPr>
      <w:pStyle w:val="Fuzeile"/>
      <w:rPr>
        <w:rFonts w:cs="Arial"/>
        <w:i/>
        <w:iCs/>
        <w:lang w:val="it-IT"/>
      </w:rPr>
    </w:pPr>
    <w:r>
      <w:rPr>
        <w:rFonts w:cs="Arial"/>
        <w:i/>
        <w:iCs/>
        <w:lang w:val="it-IT"/>
      </w:rPr>
      <w:t>Modello r</w:t>
    </w:r>
    <w:r w:rsidRPr="00394951">
      <w:rPr>
        <w:rFonts w:cs="Arial"/>
        <w:i/>
        <w:iCs/>
        <w:lang w:val="it-IT"/>
      </w:rPr>
      <w:t>egolamento di re</w:t>
    </w:r>
    <w:r>
      <w:rPr>
        <w:rFonts w:cs="Arial"/>
        <w:i/>
        <w:iCs/>
        <w:lang w:val="it-IT"/>
      </w:rPr>
      <w:t>tribuzioni forfettario</w:t>
    </w:r>
    <w:r w:rsidRPr="00394951">
      <w:rPr>
        <w:rFonts w:cs="Arial"/>
        <w:i/>
        <w:iCs/>
        <w:lang w:val="it-IT"/>
      </w:rPr>
      <w:tab/>
    </w:r>
    <w:r w:rsidRPr="00394951">
      <w:rPr>
        <w:rFonts w:cs="Arial"/>
        <w:i/>
        <w:iCs/>
        <w:lang w:val="it-IT"/>
      </w:rPr>
      <w:tab/>
      <w:t>ATIOZ, maggio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9A8A" w14:textId="39688908" w:rsidR="00813A0F" w:rsidRPr="00394951" w:rsidRDefault="00394951">
    <w:pPr>
      <w:pStyle w:val="Fuzeile"/>
      <w:rPr>
        <w:rFonts w:cs="Arial"/>
        <w:i/>
        <w:iCs/>
        <w:lang w:val="it-IT"/>
      </w:rPr>
    </w:pPr>
    <w:r>
      <w:rPr>
        <w:rFonts w:cs="Arial"/>
        <w:i/>
        <w:iCs/>
        <w:lang w:val="it-IT"/>
      </w:rPr>
      <w:t>Modello r</w:t>
    </w:r>
    <w:r w:rsidRPr="00394951">
      <w:rPr>
        <w:rFonts w:cs="Arial"/>
        <w:i/>
        <w:iCs/>
        <w:lang w:val="it-IT"/>
      </w:rPr>
      <w:t>egolamento di re</w:t>
    </w:r>
    <w:r>
      <w:rPr>
        <w:rFonts w:cs="Arial"/>
        <w:i/>
        <w:iCs/>
        <w:lang w:val="it-IT"/>
      </w:rPr>
      <w:t>tribuzion</w:t>
    </w:r>
    <w:r w:rsidR="00AB2A66">
      <w:rPr>
        <w:rFonts w:cs="Arial"/>
        <w:i/>
        <w:iCs/>
        <w:lang w:val="it-IT"/>
      </w:rPr>
      <w:t>e</w:t>
    </w:r>
    <w:r>
      <w:rPr>
        <w:rFonts w:cs="Arial"/>
        <w:i/>
        <w:iCs/>
        <w:lang w:val="it-IT"/>
      </w:rPr>
      <w:t xml:space="preserve"> forfettari</w:t>
    </w:r>
    <w:r w:rsidR="00AB2A66">
      <w:rPr>
        <w:rFonts w:cs="Arial"/>
        <w:i/>
        <w:iCs/>
        <w:lang w:val="it-IT"/>
      </w:rPr>
      <w:t>a</w:t>
    </w:r>
    <w:r w:rsidR="00813A0F" w:rsidRPr="00394951">
      <w:rPr>
        <w:rFonts w:cs="Arial"/>
        <w:i/>
        <w:iCs/>
        <w:lang w:val="it-IT"/>
      </w:rPr>
      <w:tab/>
    </w:r>
    <w:r w:rsidR="00813A0F" w:rsidRPr="00394951">
      <w:rPr>
        <w:rFonts w:cs="Arial"/>
        <w:i/>
        <w:iCs/>
        <w:lang w:val="it-IT"/>
      </w:rPr>
      <w:tab/>
      <w:t xml:space="preserve">ATIOZ, </w:t>
    </w:r>
    <w:r w:rsidRPr="00394951">
      <w:rPr>
        <w:rFonts w:cs="Arial"/>
        <w:i/>
        <w:iCs/>
        <w:lang w:val="it-IT"/>
      </w:rPr>
      <w:t>maggio</w:t>
    </w:r>
    <w:r w:rsidR="00813A0F" w:rsidRPr="00394951">
      <w:rPr>
        <w:rFonts w:cs="Arial"/>
        <w:i/>
        <w:iCs/>
        <w:lang w:val="it-IT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4E94F" w14:textId="77777777" w:rsidR="000C3097" w:rsidRDefault="000C3097" w:rsidP="000C3097">
      <w:pPr>
        <w:spacing w:line="240" w:lineRule="auto"/>
      </w:pPr>
      <w:r>
        <w:separator/>
      </w:r>
    </w:p>
  </w:footnote>
  <w:footnote w:type="continuationSeparator" w:id="0">
    <w:p w14:paraId="1697857F" w14:textId="77777777" w:rsidR="000C3097" w:rsidRDefault="000C3097" w:rsidP="000C30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5753" w14:textId="77777777" w:rsidR="000669E3" w:rsidRPr="003A1A4B" w:rsidRDefault="000669E3" w:rsidP="000669E3">
    <w:pPr>
      <w:pStyle w:val="Kopfzeile"/>
      <w:pBdr>
        <w:bottom w:val="single" w:sz="4" w:space="1" w:color="auto"/>
      </w:pBdr>
      <w:jc w:val="right"/>
      <w:rPr>
        <w:rFonts w:cs="Arial"/>
        <w:lang w:val="it-IT"/>
      </w:rPr>
    </w:pPr>
    <w:r w:rsidRPr="002D7024">
      <w:rPr>
        <w:rFonts w:cs="Arial"/>
        <w:lang w:val="it-IT"/>
      </w:rPr>
      <w:t>Regolamento in materia di retribuzioni e spese della Fondazione [</w:t>
    </w:r>
    <w:r w:rsidRPr="002D7024">
      <w:rPr>
        <w:rFonts w:cs="Arial"/>
        <w:highlight w:val="lightGray"/>
        <w:lang w:val="it-IT"/>
      </w:rPr>
      <w:t>…</w:t>
    </w:r>
    <w:r w:rsidRPr="002D7024">
      <w:rPr>
        <w:rFonts w:cs="Arial"/>
        <w:lang w:val="it-IT"/>
      </w:rPr>
      <w:t>]</w:t>
    </w:r>
  </w:p>
  <w:p w14:paraId="4F153AE0" w14:textId="78EF9C33" w:rsidR="00CC6B45" w:rsidRPr="000669E3" w:rsidRDefault="00CC6B45" w:rsidP="000669E3">
    <w:pPr>
      <w:pStyle w:val="Kopfzeil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A997E" w14:textId="4239C5BB" w:rsidR="00CC6B45" w:rsidRPr="003853A3" w:rsidRDefault="00CC6B45" w:rsidP="00CC6B45">
    <w:pPr>
      <w:pStyle w:val="Kopfzeile"/>
      <w:jc w:val="right"/>
      <w:rPr>
        <w:rFonts w:cs="Arial"/>
        <w:i/>
        <w:iCs/>
      </w:rPr>
    </w:pPr>
    <w:r w:rsidRPr="003853A3">
      <w:rPr>
        <w:rFonts w:cs="Arial"/>
        <w:i/>
        <w:iCs/>
      </w:rPr>
      <w:t>[I</w:t>
    </w:r>
    <w:r w:rsidR="000669E3">
      <w:rPr>
        <w:rFonts w:cs="Arial"/>
        <w:i/>
        <w:iCs/>
      </w:rPr>
      <w:t xml:space="preserve">l </w:t>
    </w:r>
    <w:proofErr w:type="spellStart"/>
    <w:r w:rsidR="000669E3">
      <w:rPr>
        <w:rFonts w:cs="Arial"/>
        <w:i/>
        <w:iCs/>
      </w:rPr>
      <w:t>vostro</w:t>
    </w:r>
    <w:proofErr w:type="spellEnd"/>
    <w:r w:rsidR="000669E3">
      <w:rPr>
        <w:rFonts w:cs="Arial"/>
        <w:i/>
        <w:iCs/>
      </w:rPr>
      <w:t xml:space="preserve"> l</w:t>
    </w:r>
    <w:r w:rsidRPr="003853A3">
      <w:rPr>
        <w:rFonts w:cs="Arial"/>
        <w:i/>
        <w:iCs/>
      </w:rPr>
      <w:t>ogo]</w:t>
    </w:r>
  </w:p>
  <w:sdt>
    <w:sdtPr>
      <w:id w:val="-836689706"/>
      <w:showingPlcHdr/>
      <w:picture/>
    </w:sdtPr>
    <w:sdtEndPr/>
    <w:sdtContent>
      <w:p w14:paraId="2E605943" w14:textId="6760D799" w:rsidR="00CC6B45" w:rsidRDefault="00CC6B45" w:rsidP="00EC22E8">
        <w:pPr>
          <w:pStyle w:val="Kopfzeile"/>
          <w:jc w:val="right"/>
        </w:pPr>
        <w:r>
          <w:rPr>
            <w:noProof/>
          </w:rPr>
          <w:drawing>
            <wp:inline distT="0" distB="0" distL="0" distR="0" wp14:anchorId="3785BCBD" wp14:editId="20A6641F">
              <wp:extent cx="1905000" cy="733425"/>
              <wp:effectExtent l="0" t="0" r="0" b="9525"/>
              <wp:docPr id="3" name="Bild 3" descr="Ein Bild, das weiß, Design enthält.&#10;&#10;KI-generierte Inhalte können fehlerhaft sein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Bild 3" descr="Ein Bild, das weiß, Design enthält.&#10;&#10;KI-generierte Inhalte können fehlerhaft sein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43F"/>
    <w:multiLevelType w:val="multilevel"/>
    <w:tmpl w:val="863885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67280E"/>
    <w:multiLevelType w:val="hybridMultilevel"/>
    <w:tmpl w:val="B6C67F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02BCB"/>
    <w:multiLevelType w:val="hybridMultilevel"/>
    <w:tmpl w:val="893AE17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590B14"/>
    <w:multiLevelType w:val="hybridMultilevel"/>
    <w:tmpl w:val="46E87F24"/>
    <w:lvl w:ilvl="0" w:tplc="69A410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767E8"/>
    <w:multiLevelType w:val="hybridMultilevel"/>
    <w:tmpl w:val="EEC0FC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607F3"/>
    <w:multiLevelType w:val="hybridMultilevel"/>
    <w:tmpl w:val="10FABB2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10FDC"/>
    <w:multiLevelType w:val="hybridMultilevel"/>
    <w:tmpl w:val="1FA8DACC"/>
    <w:lvl w:ilvl="0" w:tplc="0807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20" w:hanging="360"/>
      </w:pPr>
    </w:lvl>
    <w:lvl w:ilvl="2" w:tplc="0807001B" w:tentative="1">
      <w:start w:val="1"/>
      <w:numFmt w:val="lowerRoman"/>
      <w:lvlText w:val="%3."/>
      <w:lvlJc w:val="right"/>
      <w:pPr>
        <w:ind w:left="1440" w:hanging="180"/>
      </w:pPr>
    </w:lvl>
    <w:lvl w:ilvl="3" w:tplc="0807000F" w:tentative="1">
      <w:start w:val="1"/>
      <w:numFmt w:val="decimal"/>
      <w:lvlText w:val="%4."/>
      <w:lvlJc w:val="left"/>
      <w:pPr>
        <w:ind w:left="2160" w:hanging="360"/>
      </w:pPr>
    </w:lvl>
    <w:lvl w:ilvl="4" w:tplc="08070019" w:tentative="1">
      <w:start w:val="1"/>
      <w:numFmt w:val="lowerLetter"/>
      <w:lvlText w:val="%5."/>
      <w:lvlJc w:val="left"/>
      <w:pPr>
        <w:ind w:left="2880" w:hanging="360"/>
      </w:pPr>
    </w:lvl>
    <w:lvl w:ilvl="5" w:tplc="0807001B" w:tentative="1">
      <w:start w:val="1"/>
      <w:numFmt w:val="lowerRoman"/>
      <w:lvlText w:val="%6."/>
      <w:lvlJc w:val="right"/>
      <w:pPr>
        <w:ind w:left="3600" w:hanging="180"/>
      </w:pPr>
    </w:lvl>
    <w:lvl w:ilvl="6" w:tplc="0807000F" w:tentative="1">
      <w:start w:val="1"/>
      <w:numFmt w:val="decimal"/>
      <w:lvlText w:val="%7."/>
      <w:lvlJc w:val="left"/>
      <w:pPr>
        <w:ind w:left="4320" w:hanging="360"/>
      </w:pPr>
    </w:lvl>
    <w:lvl w:ilvl="7" w:tplc="08070019" w:tentative="1">
      <w:start w:val="1"/>
      <w:numFmt w:val="lowerLetter"/>
      <w:lvlText w:val="%8."/>
      <w:lvlJc w:val="left"/>
      <w:pPr>
        <w:ind w:left="5040" w:hanging="360"/>
      </w:pPr>
    </w:lvl>
    <w:lvl w:ilvl="8" w:tplc="080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7497F7D"/>
    <w:multiLevelType w:val="hybridMultilevel"/>
    <w:tmpl w:val="A9D270FE"/>
    <w:lvl w:ilvl="0" w:tplc="23F260EC">
      <w:start w:val="3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D8B243D"/>
    <w:multiLevelType w:val="hybridMultilevel"/>
    <w:tmpl w:val="BDBEA1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A2B81"/>
    <w:multiLevelType w:val="hybridMultilevel"/>
    <w:tmpl w:val="25BE6BB8"/>
    <w:lvl w:ilvl="0" w:tplc="3D10D83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A28DF"/>
    <w:multiLevelType w:val="hybridMultilevel"/>
    <w:tmpl w:val="5DDA08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27234"/>
    <w:multiLevelType w:val="hybridMultilevel"/>
    <w:tmpl w:val="EAB833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56664"/>
    <w:multiLevelType w:val="hybridMultilevel"/>
    <w:tmpl w:val="9E8621FC"/>
    <w:lvl w:ilvl="0" w:tplc="829C11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no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0633E"/>
    <w:multiLevelType w:val="hybridMultilevel"/>
    <w:tmpl w:val="3D4CF2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E5C7D"/>
    <w:multiLevelType w:val="hybridMultilevel"/>
    <w:tmpl w:val="CE0C3A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C0963"/>
    <w:multiLevelType w:val="hybridMultilevel"/>
    <w:tmpl w:val="D7E619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F18BE"/>
    <w:multiLevelType w:val="hybridMultilevel"/>
    <w:tmpl w:val="D6725A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02FE6"/>
    <w:multiLevelType w:val="hybridMultilevel"/>
    <w:tmpl w:val="A98032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83854"/>
    <w:multiLevelType w:val="hybridMultilevel"/>
    <w:tmpl w:val="681452FE"/>
    <w:lvl w:ilvl="0" w:tplc="0807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9" w15:restartNumberingAfterBreak="0">
    <w:nsid w:val="4D916976"/>
    <w:multiLevelType w:val="hybridMultilevel"/>
    <w:tmpl w:val="3B8A99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045EE"/>
    <w:multiLevelType w:val="hybridMultilevel"/>
    <w:tmpl w:val="1E3E9C30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800DCE"/>
    <w:multiLevelType w:val="hybridMultilevel"/>
    <w:tmpl w:val="4834881A"/>
    <w:lvl w:ilvl="0" w:tplc="829C11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no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C0702"/>
    <w:multiLevelType w:val="hybridMultilevel"/>
    <w:tmpl w:val="69F8E562"/>
    <w:lvl w:ilvl="0" w:tplc="362EEB16">
      <w:start w:val="6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65AE1E30"/>
    <w:multiLevelType w:val="hybridMultilevel"/>
    <w:tmpl w:val="9D88E6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57356"/>
    <w:multiLevelType w:val="hybridMultilevel"/>
    <w:tmpl w:val="E90AA98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9C0128"/>
    <w:multiLevelType w:val="hybridMultilevel"/>
    <w:tmpl w:val="D2382F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8158A"/>
    <w:multiLevelType w:val="hybridMultilevel"/>
    <w:tmpl w:val="FCFA8A9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1951947">
    <w:abstractNumId w:val="20"/>
  </w:num>
  <w:num w:numId="2" w16cid:durableId="1840382961">
    <w:abstractNumId w:val="22"/>
  </w:num>
  <w:num w:numId="3" w16cid:durableId="1220022224">
    <w:abstractNumId w:val="24"/>
  </w:num>
  <w:num w:numId="4" w16cid:durableId="167329652">
    <w:abstractNumId w:val="6"/>
  </w:num>
  <w:num w:numId="5" w16cid:durableId="468935555">
    <w:abstractNumId w:val="15"/>
  </w:num>
  <w:num w:numId="6" w16cid:durableId="1931160706">
    <w:abstractNumId w:val="13"/>
  </w:num>
  <w:num w:numId="7" w16cid:durableId="973293159">
    <w:abstractNumId w:val="4"/>
  </w:num>
  <w:num w:numId="8" w16cid:durableId="1399326284">
    <w:abstractNumId w:val="25"/>
  </w:num>
  <w:num w:numId="9" w16cid:durableId="1155800688">
    <w:abstractNumId w:val="23"/>
  </w:num>
  <w:num w:numId="10" w16cid:durableId="669142919">
    <w:abstractNumId w:val="3"/>
  </w:num>
  <w:num w:numId="11" w16cid:durableId="2024433520">
    <w:abstractNumId w:val="7"/>
  </w:num>
  <w:num w:numId="12" w16cid:durableId="290020209">
    <w:abstractNumId w:val="2"/>
  </w:num>
  <w:num w:numId="13" w16cid:durableId="776174547">
    <w:abstractNumId w:val="9"/>
  </w:num>
  <w:num w:numId="14" w16cid:durableId="1159081658">
    <w:abstractNumId w:val="18"/>
  </w:num>
  <w:num w:numId="15" w16cid:durableId="1154373645">
    <w:abstractNumId w:val="11"/>
  </w:num>
  <w:num w:numId="16" w16cid:durableId="1061054729">
    <w:abstractNumId w:val="17"/>
  </w:num>
  <w:num w:numId="17" w16cid:durableId="1107237856">
    <w:abstractNumId w:val="8"/>
  </w:num>
  <w:num w:numId="18" w16cid:durableId="604267915">
    <w:abstractNumId w:val="21"/>
  </w:num>
  <w:num w:numId="19" w16cid:durableId="48696208">
    <w:abstractNumId w:val="12"/>
  </w:num>
  <w:num w:numId="20" w16cid:durableId="753357028">
    <w:abstractNumId w:val="1"/>
  </w:num>
  <w:num w:numId="21" w16cid:durableId="1180119506">
    <w:abstractNumId w:val="26"/>
  </w:num>
  <w:num w:numId="22" w16cid:durableId="1940063472">
    <w:abstractNumId w:val="5"/>
  </w:num>
  <w:num w:numId="23" w16cid:durableId="1820220917">
    <w:abstractNumId w:val="16"/>
  </w:num>
  <w:num w:numId="24" w16cid:durableId="1021318153">
    <w:abstractNumId w:val="19"/>
  </w:num>
  <w:num w:numId="25" w16cid:durableId="1548561761">
    <w:abstractNumId w:val="10"/>
  </w:num>
  <w:num w:numId="26" w16cid:durableId="51855388">
    <w:abstractNumId w:val="14"/>
  </w:num>
  <w:num w:numId="27" w16cid:durableId="851914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readOnly" w:enforcement="1" w:cryptProviderType="rsaAES" w:cryptAlgorithmClass="hash" w:cryptAlgorithmType="typeAny" w:cryptAlgorithmSid="14" w:cryptSpinCount="100000" w:hash="P6bMMgx587zauNdEdlrjNPFk2lDRzCaGRYotSnCU37AB3UW9QmihhDQ9s41f1HogQsEEA0joArtqMOmos8tLxg==" w:salt="6tdAX/4e4XMH+ryy+386rQ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97"/>
    <w:rsid w:val="0002724D"/>
    <w:rsid w:val="000278F6"/>
    <w:rsid w:val="00042B88"/>
    <w:rsid w:val="000669E3"/>
    <w:rsid w:val="00073452"/>
    <w:rsid w:val="00090342"/>
    <w:rsid w:val="000C3097"/>
    <w:rsid w:val="00135328"/>
    <w:rsid w:val="00163A10"/>
    <w:rsid w:val="001648B2"/>
    <w:rsid w:val="001719EE"/>
    <w:rsid w:val="00177CE8"/>
    <w:rsid w:val="00191BBE"/>
    <w:rsid w:val="001D0A03"/>
    <w:rsid w:val="001D14A9"/>
    <w:rsid w:val="00233DD9"/>
    <w:rsid w:val="00244F8E"/>
    <w:rsid w:val="00270854"/>
    <w:rsid w:val="00271469"/>
    <w:rsid w:val="002B51CE"/>
    <w:rsid w:val="002B66D9"/>
    <w:rsid w:val="002C7419"/>
    <w:rsid w:val="00343F4F"/>
    <w:rsid w:val="00350AAE"/>
    <w:rsid w:val="003853A3"/>
    <w:rsid w:val="00393C68"/>
    <w:rsid w:val="00394951"/>
    <w:rsid w:val="003B7307"/>
    <w:rsid w:val="003E16BB"/>
    <w:rsid w:val="003F2759"/>
    <w:rsid w:val="00411778"/>
    <w:rsid w:val="00443116"/>
    <w:rsid w:val="0047080C"/>
    <w:rsid w:val="0047435B"/>
    <w:rsid w:val="00485DDD"/>
    <w:rsid w:val="00494500"/>
    <w:rsid w:val="004E4051"/>
    <w:rsid w:val="004E4B02"/>
    <w:rsid w:val="004F71CD"/>
    <w:rsid w:val="00536BD5"/>
    <w:rsid w:val="00550050"/>
    <w:rsid w:val="005C5783"/>
    <w:rsid w:val="00620F3C"/>
    <w:rsid w:val="0062304E"/>
    <w:rsid w:val="00655C40"/>
    <w:rsid w:val="006A45BE"/>
    <w:rsid w:val="006C10F0"/>
    <w:rsid w:val="006C694A"/>
    <w:rsid w:val="006D5DD4"/>
    <w:rsid w:val="007041F9"/>
    <w:rsid w:val="00731D7B"/>
    <w:rsid w:val="00751462"/>
    <w:rsid w:val="00797F81"/>
    <w:rsid w:val="007C66A1"/>
    <w:rsid w:val="007D52AB"/>
    <w:rsid w:val="007F10EB"/>
    <w:rsid w:val="008102C4"/>
    <w:rsid w:val="00812202"/>
    <w:rsid w:val="00813A0F"/>
    <w:rsid w:val="00813A48"/>
    <w:rsid w:val="00836B09"/>
    <w:rsid w:val="0084067F"/>
    <w:rsid w:val="00844B54"/>
    <w:rsid w:val="0087592B"/>
    <w:rsid w:val="008A77B0"/>
    <w:rsid w:val="008B78E6"/>
    <w:rsid w:val="008C784F"/>
    <w:rsid w:val="008F6325"/>
    <w:rsid w:val="009448E5"/>
    <w:rsid w:val="009C31A9"/>
    <w:rsid w:val="00A24CB2"/>
    <w:rsid w:val="00A32B0D"/>
    <w:rsid w:val="00A57E09"/>
    <w:rsid w:val="00A600B9"/>
    <w:rsid w:val="00A82D6B"/>
    <w:rsid w:val="00AB2A66"/>
    <w:rsid w:val="00AD6FB8"/>
    <w:rsid w:val="00AF61A8"/>
    <w:rsid w:val="00B7524A"/>
    <w:rsid w:val="00B8421C"/>
    <w:rsid w:val="00BC1122"/>
    <w:rsid w:val="00BC4B50"/>
    <w:rsid w:val="00C009D0"/>
    <w:rsid w:val="00C06DBF"/>
    <w:rsid w:val="00C26D76"/>
    <w:rsid w:val="00C3572C"/>
    <w:rsid w:val="00C47E7B"/>
    <w:rsid w:val="00C71E19"/>
    <w:rsid w:val="00CC1F9E"/>
    <w:rsid w:val="00CC24C2"/>
    <w:rsid w:val="00CC6B45"/>
    <w:rsid w:val="00CF53A6"/>
    <w:rsid w:val="00D14A9C"/>
    <w:rsid w:val="00D75D85"/>
    <w:rsid w:val="00DC4204"/>
    <w:rsid w:val="00DF0E6E"/>
    <w:rsid w:val="00E06DFE"/>
    <w:rsid w:val="00E24B79"/>
    <w:rsid w:val="00E90BF0"/>
    <w:rsid w:val="00EA21FB"/>
    <w:rsid w:val="00EC22E8"/>
    <w:rsid w:val="00EC6D6E"/>
    <w:rsid w:val="00EE2CB4"/>
    <w:rsid w:val="00EE2EDB"/>
    <w:rsid w:val="00EE3A53"/>
    <w:rsid w:val="00F22380"/>
    <w:rsid w:val="00F22CF8"/>
    <w:rsid w:val="00F350D8"/>
    <w:rsid w:val="00F87F7E"/>
    <w:rsid w:val="00FC4C31"/>
    <w:rsid w:val="00FD1B41"/>
    <w:rsid w:val="00FF16BC"/>
    <w:rsid w:val="00FF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0A356A19"/>
  <w15:chartTrackingRefBased/>
  <w15:docId w15:val="{410D071E-2C3B-497E-AB82-DC2203D7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de-CH" w:eastAsia="en-US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10EB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F6325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F6325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3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C3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3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C30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C30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30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C30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uiPriority w:val="12"/>
    <w:rsid w:val="00270854"/>
    <w:pPr>
      <w:numPr>
        <w:ilvl w:val="1"/>
      </w:numPr>
      <w:suppressLineNumbers/>
      <w:spacing w:after="120"/>
    </w:pPr>
    <w:rPr>
      <w:rFonts w:eastAsiaTheme="minorEastAsia"/>
      <w:spacing w:val="3"/>
      <w:kern w:val="0"/>
      <w:sz w:val="28"/>
      <w14:ligatures w14:val="none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270854"/>
    <w:rPr>
      <w:rFonts w:eastAsiaTheme="minorEastAsia"/>
      <w:spacing w:val="3"/>
      <w:kern w:val="0"/>
      <w:sz w:val="28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F6325"/>
    <w:rPr>
      <w:rFonts w:ascii="Arial" w:eastAsiaTheme="majorEastAsia" w:hAnsi="Arial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F632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3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C309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309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C309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C309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309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C30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F6325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F632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Zitat">
    <w:name w:val="Quote"/>
    <w:basedOn w:val="Standard"/>
    <w:next w:val="Standard"/>
    <w:link w:val="ZitatZchn"/>
    <w:uiPriority w:val="29"/>
    <w:qFormat/>
    <w:rsid w:val="000C30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C309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C309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C309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C3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C309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C309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C30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309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0C309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3097"/>
    <w:rPr>
      <w:rFonts w:ascii="Arial" w:hAnsi="Arial"/>
    </w:rPr>
  </w:style>
  <w:style w:type="paragraph" w:customStyle="1" w:styleId="Blocksatz">
    <w:name w:val="Blocksatz"/>
    <w:basedOn w:val="Standard"/>
    <w:uiPriority w:val="1"/>
    <w:qFormat/>
    <w:rsid w:val="00350AAE"/>
    <w:pPr>
      <w:spacing w:before="120" w:after="120"/>
      <w:jc w:val="both"/>
    </w:pPr>
    <w:rPr>
      <w:spacing w:val="3"/>
      <w:kern w:val="0"/>
      <w14:ligatures w14:val="none"/>
    </w:rPr>
  </w:style>
  <w:style w:type="paragraph" w:styleId="KeinLeerraum">
    <w:name w:val="No Spacing"/>
    <w:uiPriority w:val="1"/>
    <w:qFormat/>
    <w:rsid w:val="008F6325"/>
    <w:pPr>
      <w:spacing w:line="240" w:lineRule="auto"/>
    </w:pPr>
    <w:rPr>
      <w:rFonts w:ascii="Arial" w:hAnsi="Arial"/>
    </w:rPr>
  </w:style>
  <w:style w:type="table" w:styleId="Tabellenraster">
    <w:name w:val="Table Grid"/>
    <w:basedOn w:val="NormaleTabelle"/>
    <w:uiPriority w:val="39"/>
    <w:rsid w:val="007F10EB"/>
    <w:pPr>
      <w:spacing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1528</Words>
  <Characters>9628</Characters>
  <Application>Microsoft Office Word</Application>
  <DocSecurity>8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Zehnder</dc:creator>
  <cp:keywords/>
  <dc:description/>
  <cp:lastModifiedBy>Laurence Eigenmann</cp:lastModifiedBy>
  <cp:revision>3</cp:revision>
  <dcterms:created xsi:type="dcterms:W3CDTF">2026-06-09T10:35:00Z</dcterms:created>
  <dcterms:modified xsi:type="dcterms:W3CDTF">2026-06-09T10:36:00Z</dcterms:modified>
</cp:coreProperties>
</file>